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B70EA0" w:rsidRDefault="00952C85">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9D288C" w:rsidP="00E75E06">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5E06">
                  <w:rPr>
                    <w:rFonts w:ascii="Arial" w:hAnsi="Arial" w:hint="cs"/>
                    <w:b/>
                    <w:bCs/>
                    <w:noProof w:val="0"/>
                    <w:sz w:val="26"/>
                    <w:szCs w:val="26"/>
                    <w:rtl/>
                  </w:rPr>
                  <w:t>ד. ה. פ</w:t>
                </w:r>
                <w:r w:rsidR="00952C85">
                  <w:rPr>
                    <w:rFonts w:ascii="Arial" w:hAnsi="Arial"/>
                    <w:b/>
                    <w:bCs/>
                    <w:noProof w:val="0"/>
                    <w:sz w:val="26"/>
                    <w:szCs w:val="26"/>
                    <w:rtl/>
                  </w:rPr>
                  <w:br/>
                </w:r>
                <w:r w:rsidR="00952C85">
                  <w:rPr>
                    <w:rFonts w:ascii="Arial" w:hAnsi="Arial" w:hint="cs"/>
                    <w:b/>
                    <w:bCs/>
                    <w:noProof w:val="0"/>
                    <w:sz w:val="26"/>
                    <w:szCs w:val="26"/>
                    <w:rtl/>
                  </w:rPr>
                  <w:t>ע"י ב"כ עו"ד אבי אמר</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D288C" w:rsidP="00D44968">
            <w:pPr>
              <w:suppressLineNumbers/>
              <w:rPr>
                <w:rFonts w:ascii="Arial" w:hAnsi="Arial"/>
                <w:b/>
                <w:bCs/>
                <w:noProof w:val="0"/>
                <w:sz w:val="26"/>
                <w:szCs w:val="26"/>
              </w:rPr>
            </w:pPr>
            <w:sdt>
              <w:sdtPr>
                <w:rPr>
                  <w:rtl/>
                </w:rPr>
                <w:alias w:val="1184"/>
                <w:tag w:val="1184"/>
                <w:id w:val="-340621022"/>
                <w:text w:multiLine="1"/>
              </w:sdtPr>
              <w:sdtEndPr/>
              <w:sdtContent>
                <w:r w:rsidR="00952C85">
                  <w:rPr>
                    <w:rFonts w:ascii="Arial" w:hAnsi="Arial"/>
                    <w:b/>
                    <w:bCs/>
                    <w:noProof w:val="0"/>
                    <w:sz w:val="26"/>
                    <w:szCs w:val="26"/>
                    <w:rtl/>
                  </w:rPr>
                  <w:t>משיב</w:t>
                </w:r>
              </w:sdtContent>
            </w:sdt>
          </w:p>
        </w:tc>
        <w:tc>
          <w:tcPr>
            <w:tcW w:w="5571" w:type="dxa"/>
          </w:tcPr>
          <w:p w:rsidR="00CF6BB7" w:rsidRPr="00CD516B" w:rsidRDefault="009D288C" w:rsidP="00E75E06">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5E06">
                  <w:rPr>
                    <w:rFonts w:ascii="Arial" w:hAnsi="Arial" w:hint="cs"/>
                    <w:b/>
                    <w:bCs/>
                    <w:noProof w:val="0"/>
                    <w:sz w:val="26"/>
                    <w:szCs w:val="26"/>
                    <w:rtl/>
                  </w:rPr>
                  <w:t>א. א. פ</w:t>
                </w:r>
              </w:sdtContent>
            </w:sdt>
          </w:p>
        </w:tc>
      </w:tr>
    </w:tbl>
    <w:p w:rsidR="0094424E" w:rsidRDefault="0094424E" w:rsidP="00D44968">
      <w:pPr>
        <w:suppressLineNumbers/>
        <w:rPr>
          <w:rtl/>
        </w:rPr>
      </w:pPr>
    </w:p>
    <w:p w:rsidR="00952C85" w:rsidRDefault="00952C85" w:rsidP="00D44968">
      <w:pPr>
        <w:suppressLineNumbers/>
        <w:rPr>
          <w:rtl/>
        </w:rPr>
      </w:pPr>
    </w:p>
    <w:p w:rsidR="00952C85" w:rsidRDefault="00952C85"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952C85" w:rsidRDefault="00952C85" w:rsidP="00952C85">
      <w:pPr>
        <w:spacing w:after="120" w:line="360" w:lineRule="auto"/>
        <w:ind w:left="720" w:hanging="720"/>
        <w:jc w:val="both"/>
        <w:rPr>
          <w:rFonts w:ascii="Arial" w:hAnsi="Arial"/>
          <w:rtl/>
        </w:rPr>
      </w:pPr>
      <w:bookmarkStart w:id="0" w:name="NGCSBookmark"/>
      <w:bookmarkEnd w:id="0"/>
      <w:r w:rsidRPr="007B0FD2">
        <w:rPr>
          <w:rFonts w:ascii="Arial" w:hAnsi="Arial"/>
          <w:rtl/>
        </w:rPr>
        <w:t>1.</w:t>
      </w:r>
      <w:r w:rsidRPr="007B0FD2">
        <w:rPr>
          <w:rFonts w:ascii="Arial" w:hAnsi="Arial"/>
          <w:rtl/>
        </w:rPr>
        <w:tab/>
        <w:t xml:space="preserve">לפניי </w:t>
      </w:r>
      <w:r>
        <w:rPr>
          <w:rFonts w:hint="cs"/>
          <w:rtl/>
        </w:rPr>
        <w:t xml:space="preserve">בקשת רשות ערעור על החלטת בית משפט לענייני משפחה בקריות (כב' השופט ניר זיתוני) </w:t>
      </w:r>
      <w:r w:rsidRPr="007B0FD2">
        <w:rPr>
          <w:rFonts w:ascii="Arial" w:hAnsi="Arial"/>
          <w:rtl/>
        </w:rPr>
        <w:t xml:space="preserve">מיום </w:t>
      </w:r>
      <w:r>
        <w:rPr>
          <w:rFonts w:ascii="Arial" w:hAnsi="Arial" w:hint="cs"/>
          <w:rtl/>
        </w:rPr>
        <w:t>22.9.2024</w:t>
      </w:r>
      <w:r w:rsidRPr="007B0FD2">
        <w:rPr>
          <w:rFonts w:ascii="Arial" w:hAnsi="Arial"/>
          <w:rtl/>
        </w:rPr>
        <w:t xml:space="preserve"> שניתנה בתיק </w:t>
      </w:r>
      <w:r>
        <w:rPr>
          <w:rFonts w:ascii="Arial" w:hAnsi="Arial" w:hint="cs"/>
          <w:rtl/>
        </w:rPr>
        <w:t>תלה"מ</w:t>
      </w:r>
      <w:r>
        <w:rPr>
          <w:rFonts w:ascii="Arial" w:hAnsi="Arial"/>
          <w:rtl/>
        </w:rPr>
        <w:t xml:space="preserve"> </w:t>
      </w:r>
      <w:r>
        <w:rPr>
          <w:rFonts w:ascii="Arial" w:hAnsi="Arial" w:hint="cs"/>
          <w:rtl/>
        </w:rPr>
        <w:t>17707</w:t>
      </w:r>
      <w:r>
        <w:rPr>
          <w:rFonts w:ascii="Arial" w:hAnsi="Arial"/>
          <w:rtl/>
        </w:rPr>
        <w:t>-</w:t>
      </w:r>
      <w:r>
        <w:rPr>
          <w:rFonts w:ascii="Arial" w:hAnsi="Arial" w:hint="cs"/>
          <w:rtl/>
        </w:rPr>
        <w:t>12</w:t>
      </w:r>
      <w:r>
        <w:rPr>
          <w:rFonts w:ascii="Arial" w:hAnsi="Arial"/>
          <w:rtl/>
        </w:rPr>
        <w:t>-</w:t>
      </w:r>
      <w:r>
        <w:rPr>
          <w:rFonts w:ascii="Arial" w:hAnsi="Arial" w:hint="cs"/>
          <w:rtl/>
        </w:rPr>
        <w:t>23</w:t>
      </w:r>
      <w:r w:rsidRPr="007B0FD2">
        <w:rPr>
          <w:rFonts w:ascii="Arial" w:hAnsi="Arial"/>
          <w:rtl/>
        </w:rPr>
        <w:t xml:space="preserve"> (להלן: "</w:t>
      </w:r>
      <w:r w:rsidRPr="007B0FD2">
        <w:rPr>
          <w:rFonts w:ascii="Arial" w:hAnsi="Arial"/>
          <w:b/>
          <w:bCs/>
          <w:rtl/>
        </w:rPr>
        <w:t>ההחלטה</w:t>
      </w:r>
      <w:r w:rsidRPr="007B0FD2">
        <w:rPr>
          <w:rFonts w:ascii="Arial" w:hAnsi="Arial"/>
          <w:rtl/>
        </w:rPr>
        <w:t xml:space="preserve"> </w:t>
      </w:r>
      <w:r w:rsidRPr="007B0FD2">
        <w:rPr>
          <w:rFonts w:ascii="Arial" w:hAnsi="Arial"/>
          <w:b/>
          <w:bCs/>
          <w:rtl/>
        </w:rPr>
        <w:t>קמא</w:t>
      </w:r>
      <w:r>
        <w:rPr>
          <w:rFonts w:ascii="Arial" w:hAnsi="Arial"/>
          <w:rtl/>
        </w:rPr>
        <w:t>"</w:t>
      </w:r>
      <w:r>
        <w:rPr>
          <w:rFonts w:ascii="Arial" w:hAnsi="Arial" w:hint="cs"/>
          <w:rtl/>
        </w:rPr>
        <w:t xml:space="preserve"> ו-"</w:t>
      </w:r>
      <w:r w:rsidRPr="00E64291">
        <w:rPr>
          <w:rFonts w:ascii="Arial" w:hAnsi="Arial" w:hint="cs"/>
          <w:b/>
          <w:bCs/>
          <w:rtl/>
        </w:rPr>
        <w:t>התיק קמא</w:t>
      </w:r>
      <w:r>
        <w:rPr>
          <w:rFonts w:ascii="Arial" w:hAnsi="Arial" w:hint="cs"/>
          <w:rtl/>
        </w:rPr>
        <w:t>" בהתאמה</w:t>
      </w:r>
      <w:r>
        <w:rPr>
          <w:rFonts w:ascii="Arial" w:hAnsi="Arial"/>
          <w:rtl/>
        </w:rPr>
        <w:t>)</w:t>
      </w:r>
      <w:r>
        <w:rPr>
          <w:rFonts w:ascii="Arial" w:hAnsi="Arial" w:hint="cs"/>
          <w:rtl/>
        </w:rPr>
        <w:t>, במסגרתה אושר</w:t>
      </w:r>
      <w:r w:rsidRPr="00127436">
        <w:rPr>
          <w:rFonts w:ascii="Arial" w:hAnsi="Arial"/>
          <w:rtl/>
        </w:rPr>
        <w:t xml:space="preserve"> מכר </w:t>
      </w:r>
      <w:r>
        <w:rPr>
          <w:rFonts w:ascii="Arial" w:hAnsi="Arial" w:hint="cs"/>
          <w:rtl/>
        </w:rPr>
        <w:t>דירת הצדדים</w:t>
      </w:r>
      <w:r w:rsidRPr="00127436">
        <w:rPr>
          <w:rFonts w:ascii="Arial" w:hAnsi="Arial"/>
          <w:rtl/>
        </w:rPr>
        <w:t xml:space="preserve"> לקונים </w:t>
      </w:r>
      <w:r>
        <w:rPr>
          <w:rFonts w:ascii="Arial" w:hAnsi="Arial" w:hint="cs"/>
          <w:rtl/>
        </w:rPr>
        <w:t xml:space="preserve">צד ג', </w:t>
      </w:r>
      <w:r w:rsidRPr="00127436">
        <w:rPr>
          <w:rFonts w:ascii="Arial" w:hAnsi="Arial"/>
          <w:rtl/>
        </w:rPr>
        <w:t>תמורת 2.45 מיליון ₪</w:t>
      </w:r>
      <w:r>
        <w:rPr>
          <w:rFonts w:ascii="Arial" w:hAnsi="Arial" w:hint="cs"/>
          <w:rtl/>
        </w:rPr>
        <w:t>, כפי שיפורט להלן.</w:t>
      </w:r>
    </w:p>
    <w:p w:rsidR="00952C85" w:rsidRDefault="00952C85" w:rsidP="00952C85">
      <w:pPr>
        <w:spacing w:after="120" w:line="360" w:lineRule="auto"/>
        <w:ind w:left="720" w:hanging="720"/>
        <w:jc w:val="both"/>
        <w:rPr>
          <w:rtl/>
        </w:rPr>
      </w:pPr>
      <w:r>
        <w:rPr>
          <w:rFonts w:ascii="Arial" w:hAnsi="Arial"/>
          <w:rtl/>
        </w:rPr>
        <w:tab/>
      </w:r>
    </w:p>
    <w:p w:rsidR="00952C85" w:rsidRDefault="00952C85" w:rsidP="00952C85">
      <w:pPr>
        <w:spacing w:after="120" w:line="360" w:lineRule="auto"/>
        <w:ind w:left="720" w:hanging="720"/>
        <w:jc w:val="both"/>
        <w:rPr>
          <w:b/>
          <w:bCs/>
          <w:u w:val="single"/>
          <w:rtl/>
        </w:rPr>
      </w:pPr>
      <w:r w:rsidRPr="00BA478F">
        <w:rPr>
          <w:rFonts w:hint="cs"/>
          <w:b/>
          <w:bCs/>
          <w:u w:val="single"/>
          <w:rtl/>
        </w:rPr>
        <w:t>רקע בזעיר אנפין</w:t>
      </w:r>
      <w:r>
        <w:rPr>
          <w:rFonts w:hint="cs"/>
          <w:b/>
          <w:bCs/>
          <w:u w:val="single"/>
          <w:rtl/>
        </w:rPr>
        <w:t xml:space="preserve"> וההחלטה קמא</w:t>
      </w:r>
    </w:p>
    <w:p w:rsidR="00952C85" w:rsidRDefault="00952C85" w:rsidP="00952C85">
      <w:pPr>
        <w:spacing w:after="120" w:line="360" w:lineRule="auto"/>
        <w:ind w:left="720" w:hanging="720"/>
        <w:jc w:val="both"/>
        <w:rPr>
          <w:rFonts w:ascii="Arial" w:hAnsi="Arial"/>
          <w:noProof w:val="0"/>
          <w:rtl/>
        </w:rPr>
      </w:pPr>
      <w:r>
        <w:rPr>
          <w:rFonts w:hint="cs"/>
          <w:rtl/>
        </w:rPr>
        <w:t>2.</w:t>
      </w:r>
      <w:r>
        <w:rPr>
          <w:rFonts w:hint="cs"/>
          <w:rtl/>
        </w:rPr>
        <w:tab/>
      </w:r>
      <w:r w:rsidRPr="00127436">
        <w:rPr>
          <w:rFonts w:ascii="David" w:hAnsi="David" w:hint="cs"/>
          <w:rtl/>
        </w:rPr>
        <w:t>המבקשת והמשיב (להלן גם: "</w:t>
      </w:r>
      <w:r w:rsidRPr="00127436">
        <w:rPr>
          <w:rFonts w:ascii="Arial" w:hAnsi="Arial"/>
          <w:b/>
          <w:bCs/>
          <w:noProof w:val="0"/>
          <w:rtl/>
        </w:rPr>
        <w:t>הצדדים</w:t>
      </w:r>
      <w:r w:rsidRPr="00127436">
        <w:rPr>
          <w:rFonts w:ascii="Arial" w:hAnsi="Arial" w:hint="cs"/>
          <w:noProof w:val="0"/>
          <w:rtl/>
        </w:rPr>
        <w:t>")</w:t>
      </w:r>
      <w:r>
        <w:rPr>
          <w:rFonts w:ascii="Arial" w:hAnsi="Arial"/>
          <w:noProof w:val="0"/>
          <w:rtl/>
        </w:rPr>
        <w:t xml:space="preserve"> נישאו בשנת 2009 ומנישואיהם נולדו להם 3 ילדים</w:t>
      </w:r>
      <w:r>
        <w:rPr>
          <w:rFonts w:ascii="Arial" w:hAnsi="Arial" w:hint="cs"/>
          <w:noProof w:val="0"/>
          <w:rtl/>
        </w:rPr>
        <w:t>, קטינים</w:t>
      </w:r>
      <w:r>
        <w:rPr>
          <w:rFonts w:ascii="Arial" w:hAnsi="Arial"/>
          <w:noProof w:val="0"/>
          <w:rtl/>
        </w:rPr>
        <w:t>. יחסי הצדדים עלו על שרטון והם מנהלים הליכים בביה"ד הרבני וב</w:t>
      </w:r>
      <w:r>
        <w:rPr>
          <w:rFonts w:ascii="Arial" w:hAnsi="Arial" w:hint="cs"/>
          <w:noProof w:val="0"/>
          <w:rtl/>
        </w:rPr>
        <w:t>תיק</w:t>
      </w:r>
      <w:r>
        <w:rPr>
          <w:rFonts w:ascii="Arial" w:hAnsi="Arial"/>
          <w:noProof w:val="0"/>
          <w:rtl/>
        </w:rPr>
        <w:t xml:space="preserve"> קמא. </w:t>
      </w:r>
    </w:p>
    <w:p w:rsidR="00952C85" w:rsidRDefault="00952C85" w:rsidP="00952C85">
      <w:pPr>
        <w:spacing w:after="120" w:line="360" w:lineRule="auto"/>
        <w:ind w:left="720" w:hanging="720"/>
        <w:jc w:val="both"/>
        <w:rPr>
          <w:rFonts w:ascii="Arial" w:hAnsi="Arial"/>
          <w:noProof w:val="0"/>
          <w:rtl/>
        </w:rPr>
      </w:pPr>
      <w:r>
        <w:rPr>
          <w:rFonts w:ascii="Arial" w:hAnsi="Arial" w:hint="cs"/>
          <w:noProof w:val="0"/>
          <w:rtl/>
        </w:rPr>
        <w:t>3</w:t>
      </w:r>
      <w:r>
        <w:rPr>
          <w:rFonts w:ascii="Arial" w:hAnsi="Arial"/>
          <w:noProof w:val="0"/>
          <w:rtl/>
        </w:rPr>
        <w:t>.</w:t>
      </w:r>
      <w:r>
        <w:rPr>
          <w:rFonts w:ascii="Arial" w:hAnsi="Arial"/>
          <w:noProof w:val="0"/>
          <w:rtl/>
        </w:rPr>
        <w:tab/>
      </w:r>
      <w:r>
        <w:rPr>
          <w:rFonts w:ascii="Arial" w:hAnsi="Arial" w:hint="cs"/>
          <w:noProof w:val="0"/>
          <w:rtl/>
        </w:rPr>
        <w:t>ב</w:t>
      </w:r>
      <w:r>
        <w:rPr>
          <w:rFonts w:ascii="Arial" w:hAnsi="Arial"/>
          <w:noProof w:val="0"/>
          <w:rtl/>
        </w:rPr>
        <w:t>מסגרת הליכי רכוש ב</w:t>
      </w:r>
      <w:r>
        <w:rPr>
          <w:rFonts w:ascii="Arial" w:hAnsi="Arial" w:hint="cs"/>
          <w:noProof w:val="0"/>
          <w:rtl/>
        </w:rPr>
        <w:t>תיק</w:t>
      </w:r>
      <w:r>
        <w:rPr>
          <w:rFonts w:ascii="Arial" w:hAnsi="Arial"/>
          <w:noProof w:val="0"/>
          <w:rtl/>
        </w:rPr>
        <w:t xml:space="preserve"> קמא</w:t>
      </w:r>
      <w:r>
        <w:rPr>
          <w:rFonts w:ascii="Arial" w:hAnsi="Arial" w:hint="cs"/>
          <w:noProof w:val="0"/>
          <w:rtl/>
        </w:rPr>
        <w:t>,</w:t>
      </w:r>
      <w:r>
        <w:rPr>
          <w:rFonts w:ascii="Arial" w:hAnsi="Arial"/>
          <w:noProof w:val="0"/>
          <w:rtl/>
        </w:rPr>
        <w:t xml:space="preserve"> מונו שמאי</w:t>
      </w:r>
      <w:r>
        <w:rPr>
          <w:rFonts w:ascii="Arial" w:hAnsi="Arial" w:hint="cs"/>
          <w:noProof w:val="0"/>
          <w:rtl/>
        </w:rPr>
        <w:t xml:space="preserve"> מקרקעין</w:t>
      </w:r>
      <w:r w:rsidR="00E75E06">
        <w:rPr>
          <w:rFonts w:ascii="Arial" w:hAnsi="Arial"/>
          <w:noProof w:val="0"/>
          <w:rtl/>
        </w:rPr>
        <w:t xml:space="preserve"> להערכת שווי בית הצדדים ב</w:t>
      </w:r>
      <w:r w:rsidR="00E75E06">
        <w:rPr>
          <w:rFonts w:ascii="Arial" w:hAnsi="Arial" w:hint="cs"/>
          <w:noProof w:val="0"/>
          <w:rtl/>
        </w:rPr>
        <w:t>...</w:t>
      </w:r>
      <w:r>
        <w:rPr>
          <w:rFonts w:ascii="Arial" w:hAnsi="Arial"/>
          <w:noProof w:val="0"/>
          <w:rtl/>
        </w:rPr>
        <w:t xml:space="preserve"> </w:t>
      </w:r>
      <w:r>
        <w:rPr>
          <w:rFonts w:ascii="Arial" w:hAnsi="Arial" w:hint="cs"/>
          <w:noProof w:val="0"/>
          <w:rtl/>
        </w:rPr>
        <w:t>(להלן: "</w:t>
      </w:r>
      <w:r w:rsidRPr="00127436">
        <w:rPr>
          <w:rFonts w:ascii="Arial" w:hAnsi="Arial" w:hint="cs"/>
          <w:b/>
          <w:bCs/>
          <w:noProof w:val="0"/>
          <w:rtl/>
        </w:rPr>
        <w:t>הבית</w:t>
      </w:r>
      <w:r>
        <w:rPr>
          <w:rFonts w:ascii="Arial" w:hAnsi="Arial" w:hint="cs"/>
          <w:noProof w:val="0"/>
          <w:rtl/>
        </w:rPr>
        <w:t xml:space="preserve">") </w:t>
      </w:r>
      <w:r>
        <w:rPr>
          <w:rFonts w:ascii="Arial" w:hAnsi="Arial"/>
          <w:noProof w:val="0"/>
          <w:rtl/>
        </w:rPr>
        <w:t>ו</w:t>
      </w:r>
      <w:r>
        <w:rPr>
          <w:rFonts w:ascii="Arial" w:hAnsi="Arial" w:hint="cs"/>
          <w:noProof w:val="0"/>
          <w:rtl/>
        </w:rPr>
        <w:t xml:space="preserve">כן </w:t>
      </w:r>
      <w:r>
        <w:rPr>
          <w:rFonts w:ascii="Arial" w:hAnsi="Arial"/>
          <w:noProof w:val="0"/>
          <w:rtl/>
        </w:rPr>
        <w:t xml:space="preserve">אקטואר לאיזון הזכויות והחובות. </w:t>
      </w:r>
      <w:r>
        <w:rPr>
          <w:rFonts w:ascii="Arial" w:hAnsi="Arial" w:hint="cs"/>
          <w:noProof w:val="0"/>
          <w:rtl/>
        </w:rPr>
        <w:t>ה</w:t>
      </w:r>
      <w:r>
        <w:rPr>
          <w:rFonts w:ascii="Arial" w:hAnsi="Arial"/>
          <w:noProof w:val="0"/>
          <w:rtl/>
        </w:rPr>
        <w:t xml:space="preserve">שמאי העריך שווי הבית ע"ס 2.2 מיליון ₪. </w:t>
      </w:r>
    </w:p>
    <w:p w:rsidR="00952C85" w:rsidRDefault="00952C85" w:rsidP="00952C85">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ביום </w:t>
      </w:r>
      <w:r>
        <w:rPr>
          <w:rFonts w:ascii="Arial" w:hAnsi="Arial" w:hint="cs"/>
          <w:noProof w:val="0"/>
          <w:rtl/>
        </w:rPr>
        <w:t>14.6.24</w:t>
      </w:r>
      <w:r>
        <w:rPr>
          <w:rFonts w:ascii="Arial" w:hAnsi="Arial"/>
          <w:noProof w:val="0"/>
          <w:rtl/>
        </w:rPr>
        <w:t xml:space="preserve"> ניתנה </w:t>
      </w:r>
      <w:r>
        <w:rPr>
          <w:rFonts w:ascii="Arial" w:hAnsi="Arial" w:hint="cs"/>
          <w:noProof w:val="0"/>
          <w:rtl/>
        </w:rPr>
        <w:t xml:space="preserve">החלטה בתיק קמא, לפיה ניתנה </w:t>
      </w:r>
      <w:r>
        <w:rPr>
          <w:rFonts w:ascii="Arial" w:hAnsi="Arial"/>
          <w:noProof w:val="0"/>
          <w:rtl/>
        </w:rPr>
        <w:t xml:space="preserve">לצדדים שהות </w:t>
      </w:r>
      <w:r>
        <w:rPr>
          <w:rFonts w:ascii="Arial" w:hAnsi="Arial" w:hint="cs"/>
          <w:noProof w:val="0"/>
          <w:rtl/>
        </w:rPr>
        <w:t xml:space="preserve">בת 30 ימים </w:t>
      </w:r>
      <w:r>
        <w:rPr>
          <w:rFonts w:ascii="Arial" w:hAnsi="Arial"/>
          <w:noProof w:val="0"/>
          <w:rtl/>
        </w:rPr>
        <w:t xml:space="preserve">למצות מו"מ להסכם כולל </w:t>
      </w:r>
      <w:r>
        <w:rPr>
          <w:rFonts w:ascii="Arial" w:hAnsi="Arial" w:hint="cs"/>
          <w:noProof w:val="0"/>
          <w:rtl/>
        </w:rPr>
        <w:t xml:space="preserve">בעניין הבית </w:t>
      </w:r>
      <w:r>
        <w:rPr>
          <w:rFonts w:ascii="Arial" w:hAnsi="Arial"/>
          <w:noProof w:val="0"/>
          <w:rtl/>
        </w:rPr>
        <w:t>עד</w:t>
      </w:r>
      <w:r>
        <w:rPr>
          <w:rFonts w:ascii="Arial" w:hAnsi="Arial" w:hint="cs"/>
          <w:noProof w:val="0"/>
          <w:rtl/>
        </w:rPr>
        <w:t xml:space="preserve"> 14.7.24, </w:t>
      </w:r>
      <w:r>
        <w:rPr>
          <w:rFonts w:ascii="Arial" w:hAnsi="Arial"/>
          <w:noProof w:val="0"/>
          <w:rtl/>
        </w:rPr>
        <w:t xml:space="preserve">בטרם תיכנס לתוקפה ביום </w:t>
      </w:r>
      <w:r>
        <w:rPr>
          <w:rFonts w:ascii="Arial" w:hAnsi="Arial" w:hint="cs"/>
          <w:noProof w:val="0"/>
          <w:rtl/>
        </w:rPr>
        <w:t>16.7.24</w:t>
      </w:r>
      <w:r>
        <w:rPr>
          <w:rFonts w:ascii="Arial" w:hAnsi="Arial"/>
          <w:noProof w:val="0"/>
          <w:rtl/>
        </w:rPr>
        <w:t xml:space="preserve"> החלטה על מכירת הבית למרבה במחיר ע"י הצדדים תוך 90 יום, ולאחר מכן מכירה בהליך כינוס. </w:t>
      </w:r>
    </w:p>
    <w:p w:rsidR="00952C85" w:rsidRDefault="00952C85" w:rsidP="00952C85">
      <w:pPr>
        <w:spacing w:after="120"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ביום </w:t>
      </w:r>
      <w:r>
        <w:rPr>
          <w:rFonts w:ascii="Arial" w:hAnsi="Arial" w:hint="cs"/>
          <w:noProof w:val="0"/>
          <w:rtl/>
        </w:rPr>
        <w:t>24.6.24</w:t>
      </w:r>
      <w:r>
        <w:rPr>
          <w:rFonts w:ascii="Arial" w:hAnsi="Arial"/>
          <w:noProof w:val="0"/>
          <w:rtl/>
        </w:rPr>
        <w:t xml:space="preserve"> הודיעה המבקשת כי הליכי מו"מ בין הצדדים לא צלחו, קיים </w:t>
      </w:r>
      <w:r>
        <w:rPr>
          <w:rFonts w:ascii="Arial" w:hAnsi="Arial" w:hint="cs"/>
          <w:noProof w:val="0"/>
          <w:rtl/>
        </w:rPr>
        <w:t xml:space="preserve">לעמדתה </w:t>
      </w:r>
      <w:r>
        <w:rPr>
          <w:rFonts w:ascii="Arial" w:hAnsi="Arial"/>
          <w:noProof w:val="0"/>
          <w:rtl/>
        </w:rPr>
        <w:t xml:space="preserve">חוסר אמון </w:t>
      </w:r>
      <w:r>
        <w:rPr>
          <w:rFonts w:ascii="Arial" w:hAnsi="Arial" w:hint="cs"/>
          <w:noProof w:val="0"/>
          <w:rtl/>
        </w:rPr>
        <w:t xml:space="preserve">בין הצדדים, </w:t>
      </w:r>
      <w:r>
        <w:rPr>
          <w:rFonts w:ascii="Arial" w:hAnsi="Arial"/>
          <w:noProof w:val="0"/>
          <w:rtl/>
        </w:rPr>
        <w:t xml:space="preserve">ולא יעלה בידיהם לשתף פעולה למכירת </w:t>
      </w:r>
      <w:r>
        <w:rPr>
          <w:rFonts w:ascii="Arial" w:hAnsi="Arial" w:hint="cs"/>
          <w:noProof w:val="0"/>
          <w:rtl/>
        </w:rPr>
        <w:t xml:space="preserve">הבית; </w:t>
      </w:r>
      <w:r>
        <w:rPr>
          <w:rFonts w:ascii="Arial" w:hAnsi="Arial"/>
          <w:noProof w:val="0"/>
          <w:rtl/>
        </w:rPr>
        <w:t xml:space="preserve">על כן עתרה למינוי ב"כ ככונסי נכסים. ביהמ"ש קמא קבע כי ללא הסכמה אין לשנות את ההחלטה מיום </w:t>
      </w:r>
      <w:r>
        <w:rPr>
          <w:rFonts w:ascii="Arial" w:hAnsi="Arial" w:hint="cs"/>
          <w:noProof w:val="0"/>
          <w:rtl/>
        </w:rPr>
        <w:t>14.6.24.</w:t>
      </w:r>
    </w:p>
    <w:p w:rsidR="00952C85" w:rsidRDefault="00952C85" w:rsidP="00952C85">
      <w:pPr>
        <w:spacing w:after="120"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בקשת רשות ערעור שהגישה המבקשת כאן, על החלטה </w:t>
      </w:r>
      <w:r w:rsidRPr="00BD0130">
        <w:rPr>
          <w:rFonts w:ascii="Arial" w:hAnsi="Arial" w:hint="cs"/>
          <w:noProof w:val="0"/>
          <w:rtl/>
        </w:rPr>
        <w:t>קמא מיום 22.7.24 לאפשר</w:t>
      </w:r>
      <w:r>
        <w:rPr>
          <w:rFonts w:ascii="Arial" w:hAnsi="Arial" w:hint="cs"/>
          <w:noProof w:val="0"/>
          <w:rtl/>
        </w:rPr>
        <w:t xml:space="preserve"> למשיב להציג את הבית לקונים פוטנציאליים </w:t>
      </w:r>
      <w:r>
        <w:rPr>
          <w:rFonts w:ascii="Arial" w:hAnsi="Arial"/>
          <w:noProof w:val="0"/>
          <w:rtl/>
        </w:rPr>
        <w:t>–</w:t>
      </w:r>
      <w:r>
        <w:rPr>
          <w:rFonts w:ascii="Arial" w:hAnsi="Arial" w:hint="cs"/>
          <w:noProof w:val="0"/>
          <w:rtl/>
        </w:rPr>
        <w:t xml:space="preserve"> נדחתה אף ללא תשובה, בהחלטת כב' השופט ניצן סילמן מיום 13.8.2024 (רמ"ש 21143-08-24).</w:t>
      </w:r>
    </w:p>
    <w:p w:rsidR="00952C85" w:rsidRDefault="00952C85" w:rsidP="00E75E06">
      <w:pPr>
        <w:spacing w:after="120"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ביום </w:t>
      </w:r>
      <w:r w:rsidRPr="001D7162">
        <w:rPr>
          <w:rFonts w:ascii="Arial" w:hAnsi="Arial"/>
          <w:noProof w:val="0"/>
          <w:rtl/>
        </w:rPr>
        <w:t xml:space="preserve">16.9.24 </w:t>
      </w:r>
      <w:r>
        <w:rPr>
          <w:rFonts w:ascii="Arial" w:hAnsi="Arial" w:hint="cs"/>
          <w:noProof w:val="0"/>
          <w:rtl/>
        </w:rPr>
        <w:t xml:space="preserve">ביקש המשיב </w:t>
      </w:r>
      <w:r w:rsidRPr="001D7162">
        <w:rPr>
          <w:rFonts w:ascii="Arial" w:hAnsi="Arial"/>
          <w:noProof w:val="0"/>
          <w:rtl/>
        </w:rPr>
        <w:t xml:space="preserve">לאשר את מכר </w:t>
      </w:r>
      <w:r>
        <w:rPr>
          <w:rFonts w:ascii="Arial" w:hAnsi="Arial" w:hint="cs"/>
          <w:noProof w:val="0"/>
          <w:rtl/>
        </w:rPr>
        <w:t>הבית</w:t>
      </w:r>
      <w:r w:rsidR="00E75E06">
        <w:rPr>
          <w:rFonts w:ascii="Arial" w:hAnsi="Arial"/>
          <w:noProof w:val="0"/>
          <w:rtl/>
        </w:rPr>
        <w:t xml:space="preserve"> לקונים</w:t>
      </w:r>
      <w:r w:rsidR="00E75E06">
        <w:rPr>
          <w:rFonts w:ascii="Arial" w:hAnsi="Arial" w:hint="cs"/>
          <w:noProof w:val="0"/>
          <w:rtl/>
        </w:rPr>
        <w:t xml:space="preserve">, הזוג ב', </w:t>
      </w:r>
      <w:r>
        <w:rPr>
          <w:rFonts w:ascii="Arial" w:hAnsi="Arial"/>
          <w:noProof w:val="0"/>
          <w:rtl/>
        </w:rPr>
        <w:t>תמורת 2.45 מיליון ₪</w:t>
      </w:r>
      <w:r>
        <w:rPr>
          <w:rFonts w:ascii="Arial" w:hAnsi="Arial" w:hint="cs"/>
          <w:noProof w:val="0"/>
          <w:rtl/>
        </w:rPr>
        <w:t>.</w:t>
      </w:r>
      <w:r w:rsidRPr="001D7162">
        <w:rPr>
          <w:rFonts w:ascii="Arial" w:hAnsi="Arial"/>
          <w:noProof w:val="0"/>
          <w:rtl/>
        </w:rPr>
        <w:t xml:space="preserve"> </w:t>
      </w:r>
      <w:r>
        <w:rPr>
          <w:rFonts w:ascii="Arial" w:hAnsi="Arial" w:hint="cs"/>
          <w:noProof w:val="0"/>
          <w:rtl/>
        </w:rPr>
        <w:t>המשיב</w:t>
      </w:r>
      <w:r w:rsidRPr="001D7162">
        <w:rPr>
          <w:rFonts w:ascii="Arial" w:hAnsi="Arial"/>
          <w:noProof w:val="0"/>
          <w:rtl/>
        </w:rPr>
        <w:t xml:space="preserve"> </w:t>
      </w:r>
      <w:r>
        <w:rPr>
          <w:rFonts w:ascii="Arial" w:hAnsi="Arial" w:hint="cs"/>
          <w:noProof w:val="0"/>
          <w:rtl/>
        </w:rPr>
        <w:t>ה</w:t>
      </w:r>
      <w:r w:rsidRPr="001D7162">
        <w:rPr>
          <w:rFonts w:ascii="Arial" w:hAnsi="Arial"/>
          <w:noProof w:val="0"/>
          <w:rtl/>
        </w:rPr>
        <w:t xml:space="preserve">פנה לחוות דעת השמאי </w:t>
      </w:r>
      <w:r>
        <w:rPr>
          <w:rFonts w:ascii="Arial" w:hAnsi="Arial" w:hint="cs"/>
          <w:noProof w:val="0"/>
          <w:rtl/>
        </w:rPr>
        <w:t>קמא</w:t>
      </w:r>
      <w:r w:rsidRPr="001D7162">
        <w:rPr>
          <w:rFonts w:ascii="Arial" w:hAnsi="Arial"/>
          <w:noProof w:val="0"/>
          <w:rtl/>
        </w:rPr>
        <w:t xml:space="preserve"> מיום 7.3.24 לפיה שווי </w:t>
      </w:r>
      <w:r>
        <w:rPr>
          <w:rFonts w:ascii="Arial" w:hAnsi="Arial" w:hint="cs"/>
          <w:noProof w:val="0"/>
          <w:rtl/>
        </w:rPr>
        <w:t>הבית המוערך הוא</w:t>
      </w:r>
      <w:r>
        <w:rPr>
          <w:rFonts w:ascii="Arial" w:hAnsi="Arial"/>
          <w:noProof w:val="0"/>
          <w:rtl/>
        </w:rPr>
        <w:t xml:space="preserve"> 2.2 מיליון ₪</w:t>
      </w:r>
      <w:r>
        <w:rPr>
          <w:rFonts w:ascii="Arial" w:hAnsi="Arial" w:hint="cs"/>
          <w:noProof w:val="0"/>
          <w:rtl/>
        </w:rPr>
        <w:t>.</w:t>
      </w:r>
    </w:p>
    <w:p w:rsidR="00952C85" w:rsidRDefault="00952C85" w:rsidP="00952C85">
      <w:pPr>
        <w:spacing w:after="120" w:line="360" w:lineRule="auto"/>
        <w:ind w:left="720" w:hanging="720"/>
        <w:jc w:val="both"/>
        <w:rPr>
          <w:rFonts w:ascii="Arial" w:hAnsi="Arial"/>
          <w:noProof w:val="0"/>
          <w:rtl/>
        </w:rPr>
      </w:pPr>
      <w:r>
        <w:rPr>
          <w:rFonts w:ascii="Arial" w:hAnsi="Arial" w:hint="cs"/>
          <w:noProof w:val="0"/>
          <w:rtl/>
        </w:rPr>
        <w:lastRenderedPageBreak/>
        <w:t>8.</w:t>
      </w:r>
      <w:r>
        <w:rPr>
          <w:rFonts w:ascii="Arial" w:hAnsi="Arial" w:hint="cs"/>
          <w:noProof w:val="0"/>
          <w:rtl/>
        </w:rPr>
        <w:tab/>
      </w:r>
      <w:r>
        <w:rPr>
          <w:rFonts w:ascii="Arial" w:hAnsi="Arial"/>
          <w:noProof w:val="0"/>
          <w:rtl/>
        </w:rPr>
        <w:t xml:space="preserve">ביום 17.9.24 הוגשה תגובת </w:t>
      </w:r>
      <w:r>
        <w:rPr>
          <w:rFonts w:ascii="Arial" w:hAnsi="Arial" w:hint="cs"/>
          <w:noProof w:val="0"/>
          <w:rtl/>
        </w:rPr>
        <w:t xml:space="preserve">המבקשת, לפיה קיימת קנוניה בין הקונים לבין המשיב, </w:t>
      </w:r>
      <w:r w:rsidRPr="001D7162">
        <w:rPr>
          <w:rFonts w:ascii="Arial" w:hAnsi="Arial"/>
          <w:noProof w:val="0"/>
          <w:rtl/>
        </w:rPr>
        <w:t>לפיה</w:t>
      </w:r>
      <w:r>
        <w:rPr>
          <w:rFonts w:ascii="Arial" w:hAnsi="Arial" w:hint="cs"/>
          <w:noProof w:val="0"/>
          <w:rtl/>
        </w:rPr>
        <w:t xml:space="preserve"> התמורה גבוהה יותר מהסך המוצע, והמשיב</w:t>
      </w:r>
      <w:r w:rsidRPr="001D7162">
        <w:rPr>
          <w:rFonts w:ascii="Arial" w:hAnsi="Arial"/>
          <w:noProof w:val="0"/>
          <w:rtl/>
        </w:rPr>
        <w:t xml:space="preserve"> יקבל </w:t>
      </w:r>
      <w:r>
        <w:rPr>
          <w:rFonts w:ascii="Arial" w:hAnsi="Arial" w:hint="cs"/>
          <w:noProof w:val="0"/>
          <w:rtl/>
        </w:rPr>
        <w:t>את ההפרש</w:t>
      </w:r>
      <w:r w:rsidRPr="001D7162">
        <w:rPr>
          <w:rFonts w:ascii="Arial" w:hAnsi="Arial"/>
          <w:noProof w:val="0"/>
          <w:rtl/>
        </w:rPr>
        <w:t xml:space="preserve"> במזומן. לכן</w:t>
      </w:r>
      <w:r>
        <w:rPr>
          <w:rFonts w:ascii="Arial" w:hAnsi="Arial" w:hint="cs"/>
          <w:noProof w:val="0"/>
          <w:rtl/>
        </w:rPr>
        <w:t>, לעמדתה,</w:t>
      </w:r>
      <w:r w:rsidRPr="001D7162">
        <w:rPr>
          <w:rFonts w:ascii="Arial" w:hAnsi="Arial"/>
          <w:noProof w:val="0"/>
          <w:rtl/>
        </w:rPr>
        <w:t xml:space="preserve"> יש להעדיף מכר בכינוס ע"י ב"כ הצ</w:t>
      </w:r>
      <w:r>
        <w:rPr>
          <w:rFonts w:ascii="Arial" w:hAnsi="Arial"/>
          <w:noProof w:val="0"/>
          <w:rtl/>
        </w:rPr>
        <w:t>דדים כדי שההליך יהיה שקוף והוגן</w:t>
      </w:r>
      <w:r w:rsidRPr="001D7162">
        <w:rPr>
          <w:rFonts w:ascii="Arial" w:hAnsi="Arial"/>
          <w:noProof w:val="0"/>
          <w:rtl/>
        </w:rPr>
        <w:t xml:space="preserve">. </w:t>
      </w:r>
      <w:r>
        <w:rPr>
          <w:rFonts w:ascii="Arial" w:hAnsi="Arial" w:hint="cs"/>
          <w:noProof w:val="0"/>
          <w:rtl/>
        </w:rPr>
        <w:t>כמו כן, המבקשת טענה כי היא</w:t>
      </w:r>
      <w:r w:rsidRPr="001D7162">
        <w:rPr>
          <w:rFonts w:ascii="Arial" w:hAnsi="Arial"/>
          <w:noProof w:val="0"/>
          <w:rtl/>
        </w:rPr>
        <w:t xml:space="preserve"> צפויה לקבל מלוא הכתובה בקי</w:t>
      </w:r>
      <w:r>
        <w:rPr>
          <w:rFonts w:ascii="Arial" w:hAnsi="Arial"/>
          <w:noProof w:val="0"/>
          <w:rtl/>
        </w:rPr>
        <w:t>זוז מה שנכתב בחוות דעת האקטואר</w:t>
      </w:r>
      <w:r>
        <w:rPr>
          <w:rFonts w:ascii="Arial" w:hAnsi="Arial" w:hint="cs"/>
          <w:noProof w:val="0"/>
          <w:rtl/>
        </w:rPr>
        <w:t>,</w:t>
      </w:r>
      <w:r w:rsidRPr="001D7162">
        <w:rPr>
          <w:rFonts w:ascii="Arial" w:hAnsi="Arial"/>
          <w:noProof w:val="0"/>
          <w:rtl/>
        </w:rPr>
        <w:t xml:space="preserve"> </w:t>
      </w:r>
      <w:r>
        <w:rPr>
          <w:rFonts w:ascii="Arial" w:hAnsi="Arial" w:hint="cs"/>
          <w:noProof w:val="0"/>
          <w:rtl/>
        </w:rPr>
        <w:t>ו</w:t>
      </w:r>
      <w:r w:rsidRPr="001D7162">
        <w:rPr>
          <w:rFonts w:ascii="Arial" w:hAnsi="Arial"/>
          <w:noProof w:val="0"/>
          <w:rtl/>
        </w:rPr>
        <w:t xml:space="preserve">בתנאים אלה </w:t>
      </w:r>
      <w:r>
        <w:rPr>
          <w:rFonts w:ascii="Arial" w:hAnsi="Arial" w:hint="cs"/>
          <w:noProof w:val="0"/>
          <w:rtl/>
        </w:rPr>
        <w:t>המבקשת</w:t>
      </w:r>
      <w:r w:rsidRPr="001D7162">
        <w:rPr>
          <w:rFonts w:ascii="Arial" w:hAnsi="Arial"/>
          <w:noProof w:val="0"/>
          <w:rtl/>
        </w:rPr>
        <w:t xml:space="preserve"> רוצה לרכוש את חלקו של </w:t>
      </w:r>
      <w:r>
        <w:rPr>
          <w:rFonts w:ascii="Arial" w:hAnsi="Arial" w:hint="cs"/>
          <w:noProof w:val="0"/>
          <w:rtl/>
        </w:rPr>
        <w:t>המשיב</w:t>
      </w:r>
      <w:r w:rsidRPr="001D7162">
        <w:rPr>
          <w:rFonts w:ascii="Arial" w:hAnsi="Arial"/>
          <w:noProof w:val="0"/>
          <w:rtl/>
        </w:rPr>
        <w:t xml:space="preserve"> </w:t>
      </w:r>
      <w:r>
        <w:rPr>
          <w:rFonts w:ascii="Arial" w:hAnsi="Arial" w:hint="cs"/>
          <w:noProof w:val="0"/>
          <w:rtl/>
        </w:rPr>
        <w:t>בבית</w:t>
      </w:r>
      <w:r w:rsidRPr="001D7162">
        <w:rPr>
          <w:rFonts w:ascii="Arial" w:hAnsi="Arial"/>
          <w:noProof w:val="0"/>
          <w:rtl/>
        </w:rPr>
        <w:t xml:space="preserve">. </w:t>
      </w:r>
    </w:p>
    <w:p w:rsidR="00952C85" w:rsidRDefault="00952C85" w:rsidP="00952C85">
      <w:pPr>
        <w:spacing w:after="120"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Pr="001D7162">
        <w:rPr>
          <w:rFonts w:ascii="Arial" w:hAnsi="Arial"/>
          <w:noProof w:val="0"/>
          <w:rtl/>
        </w:rPr>
        <w:t xml:space="preserve">ביום 22.9.24 הוגשה תגובת </w:t>
      </w:r>
      <w:r>
        <w:rPr>
          <w:rFonts w:ascii="Arial" w:hAnsi="Arial" w:hint="cs"/>
          <w:noProof w:val="0"/>
          <w:rtl/>
        </w:rPr>
        <w:t>המשיב</w:t>
      </w:r>
      <w:r w:rsidRPr="001D7162">
        <w:rPr>
          <w:rFonts w:ascii="Arial" w:hAnsi="Arial"/>
          <w:noProof w:val="0"/>
          <w:rtl/>
        </w:rPr>
        <w:t xml:space="preserve"> לתגובת </w:t>
      </w:r>
      <w:r>
        <w:rPr>
          <w:rFonts w:ascii="Arial" w:hAnsi="Arial" w:hint="cs"/>
          <w:noProof w:val="0"/>
          <w:rtl/>
        </w:rPr>
        <w:t>המבקשת, במסגרתה טען כי</w:t>
      </w:r>
      <w:r w:rsidRPr="001D7162">
        <w:rPr>
          <w:rFonts w:ascii="Arial" w:hAnsi="Arial"/>
          <w:noProof w:val="0"/>
          <w:rtl/>
        </w:rPr>
        <w:t xml:space="preserve"> טענת </w:t>
      </w:r>
      <w:r>
        <w:rPr>
          <w:rFonts w:ascii="Arial" w:hAnsi="Arial" w:hint="cs"/>
          <w:noProof w:val="0"/>
          <w:rtl/>
        </w:rPr>
        <w:t>המבקשת</w:t>
      </w:r>
      <w:r w:rsidRPr="001D7162">
        <w:rPr>
          <w:rFonts w:ascii="Arial" w:hAnsi="Arial"/>
          <w:noProof w:val="0"/>
          <w:rtl/>
        </w:rPr>
        <w:t xml:space="preserve"> לקנוניה בין הקונים לבין </w:t>
      </w:r>
      <w:r>
        <w:rPr>
          <w:rFonts w:ascii="Arial" w:hAnsi="Arial" w:hint="cs"/>
          <w:noProof w:val="0"/>
          <w:rtl/>
        </w:rPr>
        <w:t>המשיב</w:t>
      </w:r>
      <w:r w:rsidRPr="001D7162">
        <w:rPr>
          <w:rFonts w:ascii="Arial" w:hAnsi="Arial"/>
          <w:noProof w:val="0"/>
          <w:rtl/>
        </w:rPr>
        <w:t xml:space="preserve"> </w:t>
      </w:r>
      <w:r>
        <w:rPr>
          <w:rFonts w:ascii="Arial" w:hAnsi="Arial"/>
          <w:noProof w:val="0"/>
          <w:rtl/>
        </w:rPr>
        <w:t>אינה נתמכת בדבר ואין לה כל יסוד</w:t>
      </w:r>
      <w:r w:rsidRPr="001D7162">
        <w:rPr>
          <w:rFonts w:ascii="Arial" w:hAnsi="Arial"/>
          <w:noProof w:val="0"/>
          <w:rtl/>
        </w:rPr>
        <w:t xml:space="preserve">. </w:t>
      </w:r>
      <w:r>
        <w:rPr>
          <w:rFonts w:ascii="Arial" w:hAnsi="Arial" w:hint="cs"/>
          <w:noProof w:val="0"/>
          <w:rtl/>
        </w:rPr>
        <w:t xml:space="preserve">כן טען כי </w:t>
      </w:r>
      <w:r w:rsidRPr="001D7162">
        <w:rPr>
          <w:rFonts w:ascii="Arial" w:hAnsi="Arial"/>
          <w:noProof w:val="0"/>
          <w:rtl/>
        </w:rPr>
        <w:t xml:space="preserve">האישה </w:t>
      </w:r>
      <w:r>
        <w:rPr>
          <w:rFonts w:ascii="Arial" w:hAnsi="Arial" w:hint="cs"/>
          <w:noProof w:val="0"/>
          <w:rtl/>
        </w:rPr>
        <w:t>"</w:t>
      </w:r>
      <w:r>
        <w:rPr>
          <w:rFonts w:ascii="Arial" w:hAnsi="Arial"/>
          <w:noProof w:val="0"/>
          <w:rtl/>
        </w:rPr>
        <w:t>מורדת</w:t>
      </w:r>
      <w:r>
        <w:rPr>
          <w:rFonts w:ascii="Arial" w:hAnsi="Arial" w:hint="cs"/>
          <w:noProof w:val="0"/>
          <w:rtl/>
        </w:rPr>
        <w:t xml:space="preserve">" </w:t>
      </w:r>
      <w:r w:rsidRPr="001D7162">
        <w:rPr>
          <w:rFonts w:ascii="Arial" w:hAnsi="Arial"/>
          <w:noProof w:val="0"/>
          <w:rtl/>
        </w:rPr>
        <w:t xml:space="preserve">ולא זכאית </w:t>
      </w:r>
      <w:r>
        <w:rPr>
          <w:rFonts w:ascii="Arial" w:hAnsi="Arial" w:hint="cs"/>
          <w:noProof w:val="0"/>
          <w:rtl/>
        </w:rPr>
        <w:t>לכתובה, וכך טען אף בבית הדין הרבני.</w:t>
      </w:r>
    </w:p>
    <w:p w:rsidR="00952C85" w:rsidRDefault="00952C85" w:rsidP="00952C85">
      <w:pPr>
        <w:spacing w:after="120"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sidRPr="001D7162">
        <w:rPr>
          <w:rFonts w:ascii="Arial" w:hAnsi="Arial" w:hint="cs"/>
          <w:noProof w:val="0"/>
          <w:u w:val="single"/>
          <w:rtl/>
        </w:rPr>
        <w:t>בו ביום, 22.9.24, ניתנה ההחלטה קמא בבקשה, להלן החלק האופרטיבי</w:t>
      </w:r>
      <w:r>
        <w:rPr>
          <w:rFonts w:ascii="Arial" w:hAnsi="Arial" w:hint="cs"/>
          <w:noProof w:val="0"/>
          <w:rtl/>
        </w:rPr>
        <w:t>:</w:t>
      </w:r>
    </w:p>
    <w:p w:rsidR="00952C85" w:rsidRPr="001D7162" w:rsidRDefault="00952C85" w:rsidP="00E75E06">
      <w:pPr>
        <w:spacing w:after="120" w:line="360" w:lineRule="auto"/>
        <w:ind w:left="1701" w:right="1276" w:hanging="567"/>
        <w:jc w:val="both"/>
        <w:rPr>
          <w:rFonts w:ascii="Arial" w:hAnsi="Arial"/>
          <w:b/>
          <w:bCs/>
          <w:noProof w:val="0"/>
          <w:rtl/>
        </w:rPr>
      </w:pPr>
      <w:r>
        <w:rPr>
          <w:rFonts w:ascii="Arial" w:hAnsi="Arial" w:hint="cs"/>
          <w:b/>
          <w:bCs/>
          <w:noProof w:val="0"/>
          <w:rtl/>
        </w:rPr>
        <w:t>"</w:t>
      </w:r>
      <w:r w:rsidRPr="001D7162">
        <w:rPr>
          <w:rFonts w:ascii="Arial" w:hAnsi="Arial"/>
          <w:b/>
          <w:bCs/>
          <w:noProof w:val="0"/>
          <w:rtl/>
        </w:rPr>
        <w:t>5.</w:t>
      </w:r>
      <w:r w:rsidRPr="001D7162">
        <w:rPr>
          <w:rFonts w:ascii="Arial" w:hAnsi="Arial"/>
          <w:b/>
          <w:bCs/>
          <w:noProof w:val="0"/>
          <w:rtl/>
        </w:rPr>
        <w:tab/>
        <w:t xml:space="preserve">לאחר בחינת טענות הצדדים ועיון בתיק החלטתי לקבל את בקשה האיש ולאשר את מכר הדירה לקונים </w:t>
      </w:r>
      <w:r w:rsidR="00E75E06">
        <w:rPr>
          <w:rFonts w:ascii="Arial" w:hAnsi="Arial" w:hint="cs"/>
          <w:b/>
          <w:bCs/>
          <w:noProof w:val="0"/>
          <w:rtl/>
        </w:rPr>
        <w:t>[הזוג ב']</w:t>
      </w:r>
      <w:r w:rsidRPr="001D7162">
        <w:rPr>
          <w:rFonts w:ascii="Arial" w:hAnsi="Arial"/>
          <w:b/>
          <w:bCs/>
          <w:noProof w:val="0"/>
          <w:rtl/>
        </w:rPr>
        <w:t xml:space="preserve"> תמורת 2.45 מיליון ₪ מהטעמים שיפורטו להלן . </w:t>
      </w:r>
    </w:p>
    <w:p w:rsidR="00952C85" w:rsidRPr="001D7162" w:rsidRDefault="00952C85" w:rsidP="00952C85">
      <w:pPr>
        <w:spacing w:after="120" w:line="360" w:lineRule="auto"/>
        <w:ind w:left="1701" w:right="1276" w:hanging="567"/>
        <w:jc w:val="both"/>
        <w:rPr>
          <w:rFonts w:ascii="Arial" w:hAnsi="Arial"/>
          <w:b/>
          <w:bCs/>
          <w:noProof w:val="0"/>
          <w:rtl/>
        </w:rPr>
      </w:pPr>
      <w:r w:rsidRPr="001D7162">
        <w:rPr>
          <w:rFonts w:ascii="Arial" w:hAnsi="Arial"/>
          <w:b/>
          <w:bCs/>
          <w:noProof w:val="0"/>
          <w:rtl/>
        </w:rPr>
        <w:t>6.</w:t>
      </w:r>
      <w:r w:rsidRPr="001D7162">
        <w:rPr>
          <w:rFonts w:ascii="Arial" w:hAnsi="Arial"/>
          <w:b/>
          <w:bCs/>
          <w:noProof w:val="0"/>
          <w:rtl/>
        </w:rPr>
        <w:tab/>
        <w:t xml:space="preserve">ראשית , הוכח כי נפתח תיק מימוש בהוצל"פ בחודש 7.24 וישנה זיקה בין ההחלטות בתיק זה לבין הליכי המימוש בהוצל"פ נוכח החלטת כב' רשמת ההוצל"פ . לצדדים אמור להיות אינטרס משותף כי הדירה תימכר בתיק זה ללא הליכי כינוס במחיר העולה על השמאות תוך הפחתה משמעותית של הוצאות נלוות שיופחתו מיתרת התמורה . לפי הנתונים שלפני הבנק הממשכן לא אמור להיפגע כיוון שסכום המכר גבוה מחוב המשכנתא . </w:t>
      </w:r>
    </w:p>
    <w:p w:rsidR="00952C85" w:rsidRPr="001D7162" w:rsidRDefault="00952C85" w:rsidP="00952C85">
      <w:pPr>
        <w:spacing w:after="120" w:line="360" w:lineRule="auto"/>
        <w:ind w:left="1701" w:right="1276" w:hanging="567"/>
        <w:jc w:val="both"/>
        <w:rPr>
          <w:rFonts w:ascii="Arial" w:hAnsi="Arial"/>
          <w:b/>
          <w:bCs/>
          <w:noProof w:val="0"/>
          <w:rtl/>
        </w:rPr>
      </w:pPr>
      <w:r w:rsidRPr="001D7162">
        <w:rPr>
          <w:rFonts w:ascii="Arial" w:hAnsi="Arial"/>
          <w:b/>
          <w:bCs/>
          <w:noProof w:val="0"/>
          <w:rtl/>
        </w:rPr>
        <w:t>7.</w:t>
      </w:r>
      <w:r w:rsidRPr="001D7162">
        <w:rPr>
          <w:rFonts w:ascii="Arial" w:hAnsi="Arial"/>
          <w:b/>
          <w:bCs/>
          <w:noProof w:val="0"/>
          <w:rtl/>
        </w:rPr>
        <w:tab/>
        <w:t xml:space="preserve">שנית , טענות האישה לפיה צפויה בקרוב החלטה של בד"ר המזכה את האישה במלוא סכום הכתובה בניכוי הסכום המגיע לאישה לפי חוות דעת האקטואר אינן נתמכות בדבר . כך גם הטענה לקנוניה בין האיש לבין הקונים . </w:t>
      </w:r>
    </w:p>
    <w:p w:rsidR="00952C85" w:rsidRPr="001D7162" w:rsidRDefault="00952C85" w:rsidP="00952C85">
      <w:pPr>
        <w:spacing w:after="120" w:line="360" w:lineRule="auto"/>
        <w:ind w:left="1701" w:right="1276" w:hanging="567"/>
        <w:jc w:val="both"/>
        <w:rPr>
          <w:rFonts w:ascii="Arial" w:hAnsi="Arial"/>
          <w:b/>
          <w:bCs/>
          <w:noProof w:val="0"/>
          <w:rtl/>
        </w:rPr>
      </w:pPr>
      <w:r w:rsidRPr="001D7162">
        <w:rPr>
          <w:rFonts w:ascii="Arial" w:hAnsi="Arial"/>
          <w:b/>
          <w:bCs/>
          <w:noProof w:val="0"/>
          <w:rtl/>
        </w:rPr>
        <w:t>8.</w:t>
      </w:r>
      <w:r w:rsidRPr="001D7162">
        <w:rPr>
          <w:rFonts w:ascii="Arial" w:hAnsi="Arial"/>
          <w:b/>
          <w:bCs/>
          <w:noProof w:val="0"/>
          <w:rtl/>
        </w:rPr>
        <w:tab/>
        <w:t>על כן , אני מורה כאמור בסעיף 5 של ההחלטה . לאור תוכן ההחלטה ניתן להציג אותה לקונ</w:t>
      </w:r>
      <w:r>
        <w:rPr>
          <w:rFonts w:ascii="Arial" w:hAnsi="Arial"/>
          <w:b/>
          <w:bCs/>
          <w:noProof w:val="0"/>
          <w:rtl/>
        </w:rPr>
        <w:t>ים , לבנק הממשכן ולתיק ההוצל"פ</w:t>
      </w:r>
      <w:r>
        <w:rPr>
          <w:rFonts w:ascii="Arial" w:hAnsi="Arial" w:hint="cs"/>
          <w:b/>
          <w:bCs/>
          <w:noProof w:val="0"/>
          <w:rtl/>
        </w:rPr>
        <w:t>".</w:t>
      </w:r>
      <w:r w:rsidRPr="001D7162">
        <w:rPr>
          <w:rFonts w:ascii="Arial" w:hAnsi="Arial"/>
          <w:b/>
          <w:bCs/>
          <w:noProof w:val="0"/>
          <w:rtl/>
        </w:rPr>
        <w:t xml:space="preserve"> </w:t>
      </w:r>
      <w:r w:rsidRPr="001D7162">
        <w:rPr>
          <w:rFonts w:ascii="Arial" w:hAnsi="Arial" w:hint="cs"/>
          <w:b/>
          <w:bCs/>
          <w:noProof w:val="0"/>
          <w:rtl/>
        </w:rPr>
        <w:t xml:space="preserve"> </w:t>
      </w:r>
    </w:p>
    <w:p w:rsidR="00952C85" w:rsidRDefault="00952C85" w:rsidP="00952C85">
      <w:pPr>
        <w:spacing w:after="120" w:line="360" w:lineRule="auto"/>
        <w:ind w:left="720" w:hanging="720"/>
        <w:jc w:val="both"/>
        <w:rPr>
          <w:b/>
          <w:bCs/>
          <w:rtl/>
        </w:rPr>
      </w:pPr>
      <w:r>
        <w:rPr>
          <w:rtl/>
        </w:rPr>
        <w:tab/>
      </w:r>
      <w:r>
        <w:rPr>
          <w:rFonts w:hint="cs"/>
          <w:rtl/>
        </w:rPr>
        <w:t>בקשת רשות הערעור דנן הוגשה בגין החלטה זו.</w:t>
      </w:r>
      <w:r>
        <w:rPr>
          <w:rFonts w:hint="cs"/>
          <w:rtl/>
        </w:rPr>
        <w:tab/>
      </w:r>
    </w:p>
    <w:p w:rsidR="00952C85" w:rsidRDefault="00952C85" w:rsidP="00952C85">
      <w:pPr>
        <w:spacing w:after="120" w:line="360" w:lineRule="auto"/>
        <w:ind w:left="720" w:hanging="720"/>
        <w:jc w:val="both"/>
        <w:rPr>
          <w:rtl/>
        </w:rPr>
      </w:pPr>
      <w:r w:rsidRPr="001D7162">
        <w:rPr>
          <w:rFonts w:hint="cs"/>
          <w:rtl/>
        </w:rPr>
        <w:t>11.</w:t>
      </w:r>
      <w:r w:rsidRPr="001D7162">
        <w:rPr>
          <w:rFonts w:hint="cs"/>
          <w:rtl/>
        </w:rPr>
        <w:tab/>
      </w:r>
      <w:r>
        <w:rPr>
          <w:rFonts w:hint="cs"/>
          <w:rtl/>
        </w:rPr>
        <w:t>להשלמת התמונה יצויין, כי ביום 24.9.24 הגישה המבקשת בתיק קמא, בקשה לעיכוב ההחלטה קמא; במסגרת הבקשה טענה המבקשת כי ברצונה לרכוש את חלקו של המשיב בבית ולשם כך זקוקה לפרק זמן בן 14 ימים "</w:t>
      </w:r>
      <w:r w:rsidRPr="001D7162">
        <w:rPr>
          <w:rFonts w:hint="cs"/>
          <w:b/>
          <w:bCs/>
          <w:rtl/>
        </w:rPr>
        <w:t>על מנת למסור הודעה סופית על כוונתה לרכוש את חלקו של המשיב</w:t>
      </w:r>
      <w:r>
        <w:rPr>
          <w:rFonts w:hint="cs"/>
          <w:rtl/>
        </w:rPr>
        <w:t xml:space="preserve">". </w:t>
      </w:r>
    </w:p>
    <w:p w:rsidR="00952C85" w:rsidRDefault="00952C85" w:rsidP="00952C85">
      <w:pPr>
        <w:spacing w:after="120" w:line="360" w:lineRule="auto"/>
        <w:ind w:left="720" w:hanging="720"/>
        <w:jc w:val="both"/>
        <w:rPr>
          <w:rtl/>
        </w:rPr>
      </w:pPr>
      <w:r>
        <w:rPr>
          <w:rtl/>
        </w:rPr>
        <w:tab/>
      </w:r>
      <w:r>
        <w:rPr>
          <w:rFonts w:hint="cs"/>
          <w:rtl/>
        </w:rPr>
        <w:t>בית משפט קמא דחה את הבקשה אף ללא קבלת תגובת המשיב, בהחלטה מאותו יום, 24.9.24.</w:t>
      </w:r>
    </w:p>
    <w:p w:rsidR="00952C85" w:rsidRDefault="00952C85" w:rsidP="00952C85">
      <w:pPr>
        <w:spacing w:after="120" w:line="360" w:lineRule="auto"/>
        <w:ind w:left="720" w:hanging="720"/>
        <w:jc w:val="both"/>
        <w:rPr>
          <w:rtl/>
        </w:rPr>
      </w:pPr>
      <w:r>
        <w:rPr>
          <w:rFonts w:hint="cs"/>
          <w:rtl/>
        </w:rPr>
        <w:t>12.</w:t>
      </w:r>
      <w:r>
        <w:rPr>
          <w:rFonts w:hint="cs"/>
          <w:rtl/>
        </w:rPr>
        <w:tab/>
        <w:t>כעבור יומיים, ביום 26.9.24, הגישה המבקשת "</w:t>
      </w:r>
      <w:r w:rsidRPr="001D7162">
        <w:rPr>
          <w:rFonts w:hint="cs"/>
          <w:b/>
          <w:bCs/>
          <w:rtl/>
        </w:rPr>
        <w:t>בקשה לעיון חוזר בהחלטה לעיכוב מכר הדירה</w:t>
      </w:r>
      <w:r>
        <w:rPr>
          <w:rFonts w:hint="cs"/>
          <w:rtl/>
        </w:rPr>
        <w:t xml:space="preserve">" במסגרתה חזרה על כוונתה, לבדוק האפשרות לרכישת חלקו של המשיב בבית; עוד טענה המבקשת בבקשה, כי בחוק המקרקעין נקבע כי חלוקה בעין עדיפה על מכר הנכס ומכך יש להסיק כי המחוקק העדיף ליתן לבעלים להישאר בנכס חלף סילוקו מהמקרקעין. </w:t>
      </w:r>
    </w:p>
    <w:p w:rsidR="00952C85" w:rsidRDefault="00952C85" w:rsidP="00952C85">
      <w:pPr>
        <w:spacing w:after="120" w:line="360" w:lineRule="auto"/>
        <w:ind w:left="720" w:hanging="720"/>
        <w:jc w:val="both"/>
        <w:rPr>
          <w:rtl/>
        </w:rPr>
      </w:pPr>
      <w:r>
        <w:rPr>
          <w:rtl/>
        </w:rPr>
        <w:lastRenderedPageBreak/>
        <w:tab/>
      </w:r>
      <w:r>
        <w:rPr>
          <w:rFonts w:hint="cs"/>
          <w:rtl/>
        </w:rPr>
        <w:t>אף בקשה זו נדחתה בהחלטת בית משפט קמא (מיום 26.9.24), ללא תגובת המשיב.</w:t>
      </w:r>
    </w:p>
    <w:p w:rsidR="00952C85" w:rsidRPr="001D7162" w:rsidRDefault="00952C85" w:rsidP="00952C85">
      <w:pPr>
        <w:spacing w:after="120" w:line="360" w:lineRule="auto"/>
        <w:ind w:left="720" w:hanging="720"/>
        <w:jc w:val="both"/>
        <w:rPr>
          <w:rtl/>
        </w:rPr>
      </w:pPr>
    </w:p>
    <w:p w:rsidR="00952C85" w:rsidRDefault="00952C85" w:rsidP="00952C85">
      <w:pPr>
        <w:spacing w:after="120" w:line="360" w:lineRule="auto"/>
        <w:ind w:right="1134"/>
        <w:jc w:val="both"/>
        <w:rPr>
          <w:b/>
          <w:bCs/>
          <w:u w:val="single"/>
          <w:rtl/>
        </w:rPr>
      </w:pPr>
      <w:r w:rsidRPr="006A77F0">
        <w:rPr>
          <w:rFonts w:hint="cs"/>
          <w:b/>
          <w:bCs/>
          <w:u w:val="single"/>
          <w:rtl/>
        </w:rPr>
        <w:t xml:space="preserve">טענות </w:t>
      </w:r>
      <w:r>
        <w:rPr>
          <w:rFonts w:hint="cs"/>
          <w:b/>
          <w:bCs/>
          <w:u w:val="single"/>
          <w:rtl/>
        </w:rPr>
        <w:t>המבקשת בבקשת רשות הערעור</w:t>
      </w:r>
    </w:p>
    <w:p w:rsidR="00952C85" w:rsidRPr="00626047" w:rsidRDefault="00952C85" w:rsidP="00952C85">
      <w:pPr>
        <w:spacing w:after="120" w:line="360" w:lineRule="auto"/>
        <w:ind w:right="1134"/>
        <w:jc w:val="both"/>
        <w:rPr>
          <w:rtl/>
        </w:rPr>
      </w:pPr>
      <w:r>
        <w:rPr>
          <w:rFonts w:hint="cs"/>
          <w:rtl/>
        </w:rPr>
        <w:t>13.</w:t>
      </w:r>
      <w:r>
        <w:rPr>
          <w:rFonts w:hint="cs"/>
          <w:rtl/>
        </w:rPr>
        <w:tab/>
      </w:r>
      <w:r>
        <w:rPr>
          <w:rFonts w:hint="cs"/>
          <w:u w:val="single"/>
          <w:rtl/>
        </w:rPr>
        <w:t>להלן תמצית טענת המבקשת</w:t>
      </w:r>
      <w:r>
        <w:rPr>
          <w:rFonts w:hint="cs"/>
          <w:rtl/>
        </w:rPr>
        <w:t>:</w:t>
      </w:r>
    </w:p>
    <w:p w:rsidR="00952C85" w:rsidRDefault="00952C85" w:rsidP="00952C85">
      <w:pPr>
        <w:spacing w:after="120" w:line="360" w:lineRule="auto"/>
        <w:ind w:left="1440" w:hanging="720"/>
        <w:jc w:val="both"/>
        <w:rPr>
          <w:rtl/>
        </w:rPr>
      </w:pPr>
      <w:r>
        <w:rPr>
          <w:rFonts w:hint="cs"/>
          <w:rtl/>
        </w:rPr>
        <w:t>א.</w:t>
      </w:r>
      <w:r>
        <w:rPr>
          <w:rFonts w:hint="cs"/>
          <w:rtl/>
        </w:rPr>
        <w:tab/>
        <w:t>שגה בימ"ש קמא עת התעלם בהחלטתו מסעיף 40א לחוק המקרקעין, תשכ"ט-1969 (להלן: "</w:t>
      </w:r>
      <w:r w:rsidRPr="00117360">
        <w:rPr>
          <w:rFonts w:hint="cs"/>
          <w:b/>
          <w:bCs/>
          <w:rtl/>
        </w:rPr>
        <w:t>חוק</w:t>
      </w:r>
      <w:r>
        <w:rPr>
          <w:rFonts w:hint="cs"/>
          <w:rtl/>
        </w:rPr>
        <w:t xml:space="preserve"> </w:t>
      </w:r>
      <w:r w:rsidRPr="00117360">
        <w:rPr>
          <w:rFonts w:hint="cs"/>
          <w:b/>
          <w:bCs/>
          <w:rtl/>
        </w:rPr>
        <w:t>המקרקעין</w:t>
      </w:r>
      <w:r>
        <w:rPr>
          <w:rFonts w:hint="cs"/>
          <w:rtl/>
        </w:rPr>
        <w:t xml:space="preserve">"). לפי סעיף זה, זכות הקטינים וההורה המחזיק בהם, המתגוררים בבית, גוברת על הזכות לפירוק שיתוף, עד אשר יימצא להם סידור חלופי למגורים. </w:t>
      </w:r>
    </w:p>
    <w:p w:rsidR="00952C85" w:rsidRDefault="00952C85" w:rsidP="00952C85">
      <w:pPr>
        <w:spacing w:after="120" w:line="360" w:lineRule="auto"/>
        <w:ind w:left="1440" w:hanging="720"/>
        <w:jc w:val="both"/>
        <w:rPr>
          <w:rtl/>
        </w:rPr>
      </w:pPr>
      <w:r>
        <w:rPr>
          <w:rFonts w:hint="cs"/>
          <w:rtl/>
        </w:rPr>
        <w:t>ב.</w:t>
      </w:r>
      <w:r>
        <w:rPr>
          <w:rtl/>
        </w:rPr>
        <w:tab/>
      </w:r>
      <w:r>
        <w:rPr>
          <w:rFonts w:hint="cs"/>
          <w:rtl/>
        </w:rPr>
        <w:t>מהוראות חוק המקרקעין עוד ניתן להסיק, כי המחוקק העדיף להתיר לבעלים להישאר בנכס חלף סילוקו מהנכס, לאור מספר מנגנונים שבחוק המקרקעין, לרבות סעיף 101 לחוק האמור.</w:t>
      </w:r>
    </w:p>
    <w:p w:rsidR="00952C85" w:rsidRDefault="00952C85" w:rsidP="00952C85">
      <w:pPr>
        <w:spacing w:after="120" w:line="360" w:lineRule="auto"/>
        <w:ind w:left="1440" w:hanging="720"/>
        <w:jc w:val="both"/>
        <w:rPr>
          <w:rtl/>
        </w:rPr>
      </w:pPr>
      <w:r>
        <w:rPr>
          <w:rFonts w:hint="cs"/>
          <w:rtl/>
        </w:rPr>
        <w:t>ג.</w:t>
      </w:r>
      <w:r>
        <w:rPr>
          <w:rFonts w:hint="cs"/>
          <w:rtl/>
        </w:rPr>
        <w:tab/>
        <w:t xml:space="preserve">שגה בית משפט קמא עת בחר להתעלם מרצון המבקשת לרכוש את חלקו של המשיב בבית. רצון שהובע הן בדיונים והן בבקשות שונות. </w:t>
      </w:r>
    </w:p>
    <w:p w:rsidR="00952C85" w:rsidRDefault="00952C85" w:rsidP="00952C85">
      <w:pPr>
        <w:spacing w:after="120" w:line="360" w:lineRule="auto"/>
        <w:jc w:val="both"/>
      </w:pPr>
    </w:p>
    <w:p w:rsidR="00952C85" w:rsidRDefault="00952C85" w:rsidP="00952C85">
      <w:pPr>
        <w:spacing w:after="120" w:line="360" w:lineRule="auto"/>
        <w:rPr>
          <w:rFonts w:ascii="David" w:hAnsi="David"/>
          <w:b/>
          <w:bCs/>
          <w:u w:val="single"/>
          <w:rtl/>
        </w:rPr>
      </w:pPr>
      <w:r w:rsidRPr="00404743">
        <w:rPr>
          <w:rFonts w:ascii="David" w:hAnsi="David" w:hint="cs"/>
          <w:b/>
          <w:bCs/>
          <w:u w:val="single"/>
          <w:rtl/>
        </w:rPr>
        <w:t>דיון והכרעה</w:t>
      </w:r>
    </w:p>
    <w:p w:rsidR="00952C85" w:rsidRDefault="00952C85" w:rsidP="00952C85">
      <w:pPr>
        <w:spacing w:after="120" w:line="360" w:lineRule="auto"/>
        <w:ind w:left="720" w:hanging="720"/>
        <w:jc w:val="both"/>
        <w:rPr>
          <w:rFonts w:ascii="David" w:hAnsi="David"/>
          <w:b/>
          <w:bCs/>
          <w:rtl/>
        </w:rPr>
      </w:pPr>
      <w:r>
        <w:rPr>
          <w:rFonts w:ascii="David" w:hAnsi="David" w:hint="cs"/>
          <w:rtl/>
        </w:rPr>
        <w:t>14</w:t>
      </w:r>
      <w:r w:rsidRPr="00404743">
        <w:rPr>
          <w:rFonts w:ascii="David" w:hAnsi="David" w:hint="cs"/>
          <w:rtl/>
        </w:rPr>
        <w:t>.</w:t>
      </w:r>
      <w:r w:rsidRPr="00404743">
        <w:rPr>
          <w:rFonts w:ascii="David" w:hAnsi="David"/>
          <w:rtl/>
        </w:rPr>
        <w:tab/>
      </w:r>
      <w:r w:rsidRPr="00404743">
        <w:rPr>
          <w:rFonts w:ascii="David" w:hAnsi="David"/>
          <w:b/>
          <w:bCs/>
          <w:rtl/>
        </w:rPr>
        <w:t>לאחר עיון בבקשת רשות הערעור על נספחיה</w:t>
      </w:r>
      <w:r>
        <w:rPr>
          <w:rFonts w:ascii="David" w:hAnsi="David" w:hint="cs"/>
          <w:b/>
          <w:bCs/>
          <w:rtl/>
        </w:rPr>
        <w:t xml:space="preserve"> </w:t>
      </w:r>
      <w:r w:rsidRPr="00404743">
        <w:rPr>
          <w:rFonts w:ascii="David" w:hAnsi="David"/>
          <w:b/>
          <w:bCs/>
          <w:rtl/>
        </w:rPr>
        <w:t>ובתיק קמא</w:t>
      </w:r>
      <w:r>
        <w:rPr>
          <w:rFonts w:ascii="David" w:hAnsi="David" w:hint="cs"/>
          <w:b/>
          <w:bCs/>
          <w:rtl/>
        </w:rPr>
        <w:t>,</w:t>
      </w:r>
      <w:r w:rsidRPr="00404743">
        <w:rPr>
          <w:rFonts w:ascii="David" w:hAnsi="David"/>
          <w:b/>
          <w:bCs/>
          <w:rtl/>
        </w:rPr>
        <w:t xml:space="preserve"> שוכנעתי </w:t>
      </w:r>
      <w:r>
        <w:rPr>
          <w:rFonts w:ascii="David" w:hAnsi="David"/>
          <w:b/>
          <w:bCs/>
          <w:rtl/>
        </w:rPr>
        <w:t xml:space="preserve">לדחות את </w:t>
      </w:r>
      <w:r>
        <w:rPr>
          <w:rFonts w:ascii="David" w:hAnsi="David" w:hint="cs"/>
          <w:b/>
          <w:bCs/>
          <w:rtl/>
        </w:rPr>
        <w:t xml:space="preserve">בקשת רשות </w:t>
      </w:r>
      <w:r>
        <w:rPr>
          <w:rFonts w:ascii="David" w:hAnsi="David"/>
          <w:b/>
          <w:bCs/>
          <w:rtl/>
        </w:rPr>
        <w:t>הערעור</w:t>
      </w:r>
      <w:r>
        <w:rPr>
          <w:rFonts w:ascii="David" w:hAnsi="David" w:hint="cs"/>
          <w:b/>
          <w:bCs/>
          <w:rtl/>
        </w:rPr>
        <w:t xml:space="preserve"> אף ללא תשובה</w:t>
      </w:r>
      <w:r w:rsidRPr="00404743">
        <w:rPr>
          <w:rFonts w:ascii="David" w:hAnsi="David"/>
          <w:b/>
          <w:bCs/>
          <w:rtl/>
        </w:rPr>
        <w:t>, מכח סמכותי על פי תקנות 138(א)(2) + (5) לתקנות סדר הדין האזר</w:t>
      </w:r>
      <w:r>
        <w:rPr>
          <w:rFonts w:ascii="David" w:hAnsi="David"/>
          <w:b/>
          <w:bCs/>
          <w:rtl/>
        </w:rPr>
        <w:t>חי, תשע"ט-2018</w:t>
      </w:r>
      <w:r>
        <w:rPr>
          <w:rFonts w:ascii="David" w:hAnsi="David" w:hint="cs"/>
          <w:b/>
          <w:bCs/>
          <w:rtl/>
        </w:rPr>
        <w:t>.</w:t>
      </w:r>
    </w:p>
    <w:p w:rsidR="00952C85" w:rsidRDefault="00952C85" w:rsidP="007E1B3A">
      <w:pPr>
        <w:spacing w:after="120" w:line="360" w:lineRule="auto"/>
        <w:ind w:left="720" w:hanging="720"/>
        <w:jc w:val="both"/>
        <w:rPr>
          <w:rFonts w:ascii="David" w:hAnsi="David"/>
          <w:rtl/>
        </w:rPr>
      </w:pPr>
      <w:r>
        <w:rPr>
          <w:rFonts w:ascii="David" w:hAnsi="David" w:hint="cs"/>
          <w:rtl/>
        </w:rPr>
        <w:t>15.</w:t>
      </w:r>
      <w:r>
        <w:rPr>
          <w:rFonts w:ascii="David" w:hAnsi="David" w:hint="cs"/>
          <w:rtl/>
        </w:rPr>
        <w:tab/>
        <w:t xml:space="preserve">הטענה שהעלתה המבקשת, לפיה בית משפט קמא התעלם בהחלטה קמא מסעיף 40א לחוק המקרקעין, איננה מדויקת כלל ועיקר. עיון בתיק קמא מלמד, כי טענה זו לא נטענה בתיק קמא ברחל בתך הקטנה, אלא המבקשת בחרה להגיש בקשה לעיכוב ביצוע ולאחריה בקשה לעיון חוזר (ראו סעיפים 11-12 לעיל) </w:t>
      </w:r>
      <w:r>
        <w:rPr>
          <w:rFonts w:ascii="David" w:hAnsi="David"/>
          <w:rtl/>
        </w:rPr>
        <w:t>–</w:t>
      </w:r>
      <w:r>
        <w:rPr>
          <w:rFonts w:ascii="David" w:hAnsi="David" w:hint="cs"/>
          <w:rtl/>
        </w:rPr>
        <w:t xml:space="preserve"> ובאף אחת מהן לא </w:t>
      </w:r>
      <w:r w:rsidR="00610602">
        <w:rPr>
          <w:rFonts w:ascii="David" w:hAnsi="David" w:hint="cs"/>
          <w:rtl/>
        </w:rPr>
        <w:t>טענה כ</w:t>
      </w:r>
      <w:r w:rsidR="007E1B3A">
        <w:rPr>
          <w:rFonts w:ascii="David" w:hAnsi="David" w:hint="cs"/>
          <w:rtl/>
        </w:rPr>
        <w:t>ל</w:t>
      </w:r>
      <w:r w:rsidR="00610602">
        <w:rPr>
          <w:rFonts w:ascii="David" w:hAnsi="David" w:hint="cs"/>
          <w:rtl/>
        </w:rPr>
        <w:t xml:space="preserve"> טענה בהסתמך על </w:t>
      </w:r>
      <w:r>
        <w:rPr>
          <w:rFonts w:ascii="David" w:hAnsi="David" w:hint="cs"/>
          <w:rtl/>
        </w:rPr>
        <w:t xml:space="preserve">סעיף 40א לחוק המקרקעין. </w:t>
      </w:r>
    </w:p>
    <w:p w:rsidR="00952C85" w:rsidRPr="00330817" w:rsidRDefault="00952C85" w:rsidP="00952C85">
      <w:pPr>
        <w:spacing w:after="120" w:line="360" w:lineRule="auto"/>
        <w:ind w:left="720" w:hanging="720"/>
        <w:jc w:val="both"/>
        <w:rPr>
          <w:rFonts w:ascii="David" w:hAnsi="David"/>
          <w:rtl/>
        </w:rPr>
      </w:pPr>
      <w:r>
        <w:rPr>
          <w:rFonts w:ascii="David" w:hAnsi="David"/>
          <w:rtl/>
        </w:rPr>
        <w:tab/>
      </w:r>
      <w:r w:rsidRPr="00330817">
        <w:rPr>
          <w:rFonts w:ascii="David" w:hAnsi="David" w:hint="cs"/>
          <w:b/>
          <w:bCs/>
          <w:rtl/>
        </w:rPr>
        <w:t>לא ראוי להעלות טענה זו לראשונה בכתב רשות הערעור, ומסיבה זו בלבד ניתן לדחות את בקשת רשות הערעור דנן</w:t>
      </w:r>
      <w:r>
        <w:rPr>
          <w:rFonts w:ascii="David" w:hAnsi="David" w:hint="cs"/>
          <w:rtl/>
        </w:rPr>
        <w:t xml:space="preserve">.  </w:t>
      </w:r>
    </w:p>
    <w:p w:rsidR="00952C85" w:rsidRDefault="00952C85" w:rsidP="00952C85">
      <w:pPr>
        <w:spacing w:after="120" w:line="360" w:lineRule="auto"/>
        <w:ind w:left="720" w:hanging="720"/>
        <w:jc w:val="both"/>
        <w:rPr>
          <w:rFonts w:ascii="David" w:hAnsi="David"/>
          <w:rtl/>
        </w:rPr>
      </w:pPr>
      <w:r>
        <w:rPr>
          <w:rFonts w:ascii="David" w:hAnsi="David" w:hint="cs"/>
          <w:rtl/>
        </w:rPr>
        <w:t>16.</w:t>
      </w:r>
      <w:r>
        <w:rPr>
          <w:rFonts w:ascii="David" w:hAnsi="David" w:hint="cs"/>
          <w:rtl/>
        </w:rPr>
        <w:tab/>
        <w:t xml:space="preserve">אף לגופם של דברים, דין בקשת רשות הערעור דחייה. </w:t>
      </w:r>
    </w:p>
    <w:p w:rsidR="007E1B3A" w:rsidRDefault="00952C85" w:rsidP="007E1B3A">
      <w:pPr>
        <w:spacing w:after="120" w:line="360" w:lineRule="auto"/>
        <w:ind w:left="720" w:hanging="720"/>
        <w:jc w:val="both"/>
        <w:rPr>
          <w:rFonts w:ascii="David" w:hAnsi="David"/>
          <w:rtl/>
        </w:rPr>
      </w:pPr>
      <w:r>
        <w:rPr>
          <w:rFonts w:ascii="David" w:hAnsi="David"/>
          <w:rtl/>
        </w:rPr>
        <w:tab/>
      </w:r>
      <w:r w:rsidR="007E1B3A">
        <w:rPr>
          <w:rFonts w:ascii="David" w:hAnsi="David" w:hint="cs"/>
          <w:rtl/>
        </w:rPr>
        <w:t>לטעמי אין ממש ב</w:t>
      </w:r>
      <w:r w:rsidR="00610602">
        <w:rPr>
          <w:rFonts w:ascii="David" w:hAnsi="David" w:hint="cs"/>
          <w:rtl/>
        </w:rPr>
        <w:t xml:space="preserve">טענות </w:t>
      </w:r>
      <w:r>
        <w:rPr>
          <w:rFonts w:ascii="David" w:hAnsi="David" w:hint="cs"/>
          <w:rtl/>
        </w:rPr>
        <w:t>המבקשת המפורטות</w:t>
      </w:r>
      <w:r w:rsidR="00610602">
        <w:rPr>
          <w:rFonts w:ascii="David" w:hAnsi="David" w:hint="cs"/>
          <w:rtl/>
        </w:rPr>
        <w:t xml:space="preserve"> בסעיף 13</w:t>
      </w:r>
      <w:r w:rsidR="007E1B3A">
        <w:rPr>
          <w:rFonts w:ascii="David" w:hAnsi="David" w:hint="cs"/>
          <w:rtl/>
        </w:rPr>
        <w:t xml:space="preserve"> לעיל,</w:t>
      </w:r>
      <w:r w:rsidR="00610602">
        <w:rPr>
          <w:rFonts w:ascii="David" w:hAnsi="David" w:hint="cs"/>
          <w:rtl/>
        </w:rPr>
        <w:t xml:space="preserve"> שעלו כאמור ב</w:t>
      </w:r>
      <w:r>
        <w:rPr>
          <w:rFonts w:ascii="David" w:hAnsi="David" w:hint="cs"/>
          <w:rtl/>
        </w:rPr>
        <w:t>גלוי ובמפורש רק כעת</w:t>
      </w:r>
      <w:r w:rsidR="007E1B3A">
        <w:rPr>
          <w:rFonts w:ascii="David" w:hAnsi="David" w:hint="cs"/>
          <w:rtl/>
        </w:rPr>
        <w:t>.</w:t>
      </w:r>
    </w:p>
    <w:p w:rsidR="00952C85" w:rsidRDefault="00610602" w:rsidP="007E1B3A">
      <w:pPr>
        <w:spacing w:after="120" w:line="360" w:lineRule="auto"/>
        <w:ind w:left="720"/>
        <w:jc w:val="both"/>
        <w:rPr>
          <w:rFonts w:ascii="David" w:hAnsi="David"/>
          <w:rtl/>
        </w:rPr>
      </w:pPr>
      <w:r>
        <w:rPr>
          <w:rFonts w:ascii="David" w:hAnsi="David" w:hint="cs"/>
          <w:rtl/>
        </w:rPr>
        <w:t>זאת</w:t>
      </w:r>
      <w:r w:rsidR="00952C85">
        <w:rPr>
          <w:rFonts w:ascii="David" w:hAnsi="David" w:hint="cs"/>
          <w:rtl/>
        </w:rPr>
        <w:t xml:space="preserve"> לנוכח ההחלטה קמא מיום 14.6.24 ולוח הזמנים שפורט במסגרתו, למכר הבית (ראו סעיף 4 לעיל). בראשית לוח הזמנים, ניתנה למבקשת הזדמנות לנהל עם המשיב משא ומתן לקניית חלקו בבית, ומשלא הבשיל המו"מ פנה המשיב, במסגרת אותו לוח זמנים, למכר עצמאי לצדדי ג'. </w:t>
      </w:r>
    </w:p>
    <w:p w:rsidR="00952C85" w:rsidRDefault="00952C85" w:rsidP="00952C85">
      <w:pPr>
        <w:spacing w:after="120" w:line="360" w:lineRule="auto"/>
        <w:ind w:left="720" w:hanging="720"/>
        <w:jc w:val="both"/>
        <w:rPr>
          <w:rFonts w:ascii="David" w:hAnsi="David"/>
          <w:rtl/>
        </w:rPr>
      </w:pPr>
      <w:r>
        <w:rPr>
          <w:rFonts w:ascii="David" w:hAnsi="David"/>
          <w:rtl/>
        </w:rPr>
        <w:tab/>
      </w:r>
      <w:r>
        <w:rPr>
          <w:rFonts w:ascii="David" w:hAnsi="David" w:hint="cs"/>
          <w:rtl/>
        </w:rPr>
        <w:t>דרך זו למכור את הבית עדיפה בשלב זה על דרך כינוס נכסים, הליך יקר וממושך שהוצאותיו מנוכות מסך המכר; על המבקשת לבכר את מכירת הבית באופן עצמאי, ובתמורה הגבוהה מהערכת שווי השמאי, מה שיחסוך את הוצאות הכינוס (כפי שפירט אף כב' השופט סילמן בהחלטתו ברמ"ש הקודם,</w:t>
      </w:r>
      <w:r>
        <w:rPr>
          <w:rFonts w:ascii="Arial" w:hAnsi="Arial" w:hint="cs"/>
          <w:noProof w:val="0"/>
          <w:rtl/>
        </w:rPr>
        <w:t xml:space="preserve"> 21143-08-24).</w:t>
      </w:r>
      <w:r>
        <w:rPr>
          <w:rFonts w:ascii="David" w:hAnsi="David" w:hint="cs"/>
          <w:rtl/>
        </w:rPr>
        <w:t xml:space="preserve"> </w:t>
      </w:r>
    </w:p>
    <w:p w:rsidR="00952C85" w:rsidRDefault="00952C85" w:rsidP="00952C85">
      <w:pPr>
        <w:spacing w:after="120" w:line="360" w:lineRule="auto"/>
        <w:ind w:left="720" w:hanging="720"/>
        <w:jc w:val="both"/>
        <w:rPr>
          <w:rFonts w:ascii="David" w:hAnsi="David"/>
          <w:rtl/>
        </w:rPr>
      </w:pPr>
      <w:r>
        <w:rPr>
          <w:rFonts w:ascii="David" w:hAnsi="David" w:hint="cs"/>
          <w:rtl/>
        </w:rPr>
        <w:lastRenderedPageBreak/>
        <w:t>17.</w:t>
      </w:r>
      <w:r>
        <w:rPr>
          <w:rFonts w:ascii="David" w:hAnsi="David" w:hint="cs"/>
          <w:rtl/>
        </w:rPr>
        <w:tab/>
        <w:t xml:space="preserve">עוד מלמד עיון בתיק קמא, כי הבית עתיד להימכר במחיר של 2.45 מיליון ₪, וכי רובצת עליו משכנתא בסך של כ- 1.09 מיליון ₪; לאחר ניכוי המשכנתא, יוותר בידי המבקשת סך של כ- 650,000 ₪. </w:t>
      </w:r>
      <w:r w:rsidRPr="005253F4">
        <w:rPr>
          <w:rFonts w:ascii="David" w:hAnsi="David" w:hint="cs"/>
          <w:b/>
          <w:bCs/>
          <w:rtl/>
        </w:rPr>
        <w:t xml:space="preserve">סך זה יש בו </w:t>
      </w:r>
      <w:r>
        <w:rPr>
          <w:rFonts w:ascii="David" w:hAnsi="David" w:hint="cs"/>
          <w:b/>
          <w:bCs/>
          <w:rtl/>
        </w:rPr>
        <w:t xml:space="preserve">לטעמי </w:t>
      </w:r>
      <w:r w:rsidRPr="005253F4">
        <w:rPr>
          <w:rFonts w:ascii="David" w:hAnsi="David" w:hint="cs"/>
          <w:b/>
          <w:bCs/>
          <w:rtl/>
        </w:rPr>
        <w:t>כדי להבטיח מדור הולם עבור המבקשת והקטינים, ובכך למלא אחר תכלית סעיף 40א לחוק המקרקעין</w:t>
      </w:r>
      <w:r>
        <w:rPr>
          <w:rFonts w:ascii="David" w:hAnsi="David" w:hint="cs"/>
          <w:rtl/>
        </w:rPr>
        <w:t xml:space="preserve"> (ראו לעניין זה: </w:t>
      </w:r>
      <w:r>
        <w:rPr>
          <w:rFonts w:ascii="David" w:hAnsi="David"/>
          <w:rtl/>
        </w:rPr>
        <w:t>ע</w:t>
      </w:r>
      <w:r>
        <w:rPr>
          <w:rFonts w:ascii="David" w:hAnsi="David" w:hint="cs"/>
          <w:rtl/>
        </w:rPr>
        <w:t>"</w:t>
      </w:r>
      <w:r>
        <w:rPr>
          <w:rFonts w:ascii="David" w:hAnsi="David"/>
          <w:rtl/>
        </w:rPr>
        <w:t>א 7326/10</w:t>
      </w:r>
      <w:r>
        <w:rPr>
          <w:rFonts w:ascii="David" w:hAnsi="David" w:hint="cs"/>
          <w:rtl/>
        </w:rPr>
        <w:t xml:space="preserve"> </w:t>
      </w:r>
      <w:r w:rsidRPr="00E93B90">
        <w:rPr>
          <w:rFonts w:ascii="David" w:hAnsi="David"/>
          <w:b/>
          <w:bCs/>
          <w:rtl/>
        </w:rPr>
        <w:t>חגית אגמון נ' עו"ד ערן אטלס נפתלי נשר</w:t>
      </w:r>
      <w:r>
        <w:rPr>
          <w:rFonts w:ascii="David" w:hAnsi="David" w:hint="cs"/>
          <w:rtl/>
        </w:rPr>
        <w:t>, (16.6.2011) פסקה 10 להחלטה).</w:t>
      </w:r>
    </w:p>
    <w:p w:rsidR="00952C85" w:rsidRDefault="00952C85" w:rsidP="00952C85">
      <w:pPr>
        <w:spacing w:after="120" w:line="360" w:lineRule="auto"/>
        <w:ind w:left="720" w:hanging="720"/>
        <w:jc w:val="both"/>
        <w:rPr>
          <w:rFonts w:ascii="David" w:hAnsi="David"/>
          <w:rtl/>
        </w:rPr>
      </w:pPr>
      <w:r>
        <w:rPr>
          <w:rFonts w:ascii="David" w:hAnsi="David" w:hint="cs"/>
          <w:rtl/>
        </w:rPr>
        <w:t>18.</w:t>
      </w:r>
      <w:r>
        <w:rPr>
          <w:rFonts w:ascii="David" w:hAnsi="David" w:hint="cs"/>
          <w:rtl/>
        </w:rPr>
        <w:tab/>
        <w:t xml:space="preserve">לא זו אף זו </w:t>
      </w:r>
      <w:r>
        <w:rPr>
          <w:rFonts w:ascii="David" w:hAnsi="David"/>
          <w:rtl/>
        </w:rPr>
        <w:t>–</w:t>
      </w:r>
      <w:r>
        <w:rPr>
          <w:rFonts w:ascii="David" w:hAnsi="David" w:hint="cs"/>
          <w:rtl/>
        </w:rPr>
        <w:t xml:space="preserve"> ככל שהמבקשת תקבל לידה את כתובתה, כפי שטענה כי כך ייפסק בקרוב על ידי בית הדין הרבני, הרי שהבטחת מדורה ומדור הקטינים תגבר ותתחזק. </w:t>
      </w:r>
    </w:p>
    <w:p w:rsidR="00952C85" w:rsidRDefault="00952C85" w:rsidP="00952C85">
      <w:pPr>
        <w:spacing w:after="120" w:line="360" w:lineRule="auto"/>
        <w:ind w:left="720" w:hanging="720"/>
        <w:jc w:val="both"/>
        <w:rPr>
          <w:rFonts w:ascii="David" w:hAnsi="David"/>
          <w:rtl/>
        </w:rPr>
      </w:pPr>
      <w:r>
        <w:rPr>
          <w:rFonts w:ascii="David" w:hAnsi="David"/>
          <w:rtl/>
        </w:rPr>
        <w:tab/>
      </w:r>
      <w:r>
        <w:rPr>
          <w:rFonts w:ascii="David" w:hAnsi="David" w:hint="cs"/>
          <w:rtl/>
        </w:rPr>
        <w:t xml:space="preserve">ודוק </w:t>
      </w:r>
      <w:r>
        <w:rPr>
          <w:rFonts w:ascii="David" w:hAnsi="David"/>
          <w:rtl/>
        </w:rPr>
        <w:t>–</w:t>
      </w:r>
      <w:r>
        <w:rPr>
          <w:rFonts w:ascii="David" w:hAnsi="David" w:hint="cs"/>
          <w:rtl/>
        </w:rPr>
        <w:t xml:space="preserve"> ככל שהסך בידי המבקשת לא מספק, וככל שתסבור שעל המשיב לספק את צרכי מדור הקטינים, פתוחה בפניה הדרך להגיש תובענה נפרדת למדור ודמי מדור בעניין זה, ככל שלא הוגשה עד היום. </w:t>
      </w:r>
    </w:p>
    <w:p w:rsidR="00952C85" w:rsidRDefault="00952C85" w:rsidP="00952C85">
      <w:pPr>
        <w:spacing w:after="120" w:line="360" w:lineRule="auto"/>
        <w:ind w:left="720" w:hanging="720"/>
        <w:jc w:val="both"/>
        <w:rPr>
          <w:rFonts w:ascii="David" w:hAnsi="David"/>
          <w:rtl/>
        </w:rPr>
      </w:pPr>
      <w:r>
        <w:rPr>
          <w:rFonts w:ascii="David" w:hAnsi="David"/>
          <w:rtl/>
        </w:rPr>
        <w:tab/>
      </w:r>
      <w:r>
        <w:rPr>
          <w:rFonts w:ascii="David" w:hAnsi="David" w:hint="cs"/>
          <w:rtl/>
        </w:rPr>
        <w:t xml:space="preserve">בנקודה זו אף אעיר, כי היה מצופה מהמבקשת, שהגישה בקשתה לפי סעיף 40א לחוק המקרקעין, לגלות ולפרט במסגרת הבקשה האם </w:t>
      </w:r>
      <w:r w:rsidR="007E1B3A">
        <w:rPr>
          <w:rFonts w:ascii="David" w:hAnsi="David" w:hint="cs"/>
          <w:rtl/>
        </w:rPr>
        <w:t>נ</w:t>
      </w:r>
      <w:r>
        <w:rPr>
          <w:rFonts w:ascii="David" w:hAnsi="David" w:hint="cs"/>
          <w:rtl/>
        </w:rPr>
        <w:t>פסקו מזונות לקטינים, באיזה גובה, האם כוללים הם מדור</w:t>
      </w:r>
      <w:r w:rsidR="003358DE">
        <w:rPr>
          <w:rFonts w:ascii="David" w:hAnsi="David" w:hint="cs"/>
          <w:rtl/>
        </w:rPr>
        <w:t xml:space="preserve"> ודמי מדור וכיו"ב. </w:t>
      </w:r>
      <w:r>
        <w:rPr>
          <w:rFonts w:ascii="David" w:hAnsi="David" w:hint="cs"/>
          <w:rtl/>
        </w:rPr>
        <w:t>זאת על מנת שהתמונה העומדת בפני בית המשפט תהא שלמה ומדויקת ככל הניתן בנסיבות.</w:t>
      </w:r>
    </w:p>
    <w:p w:rsidR="00952C85" w:rsidRDefault="00952C85" w:rsidP="00952C85">
      <w:pPr>
        <w:spacing w:after="120" w:line="360" w:lineRule="auto"/>
        <w:ind w:left="720" w:hanging="720"/>
        <w:jc w:val="both"/>
        <w:rPr>
          <w:rFonts w:ascii="David" w:hAnsi="David"/>
          <w:rtl/>
        </w:rPr>
      </w:pPr>
      <w:r>
        <w:rPr>
          <w:rFonts w:ascii="David" w:hAnsi="David" w:hint="cs"/>
          <w:rtl/>
        </w:rPr>
        <w:t>19.</w:t>
      </w:r>
      <w:r>
        <w:rPr>
          <w:rFonts w:ascii="David" w:hAnsi="David" w:hint="cs"/>
          <w:rtl/>
        </w:rPr>
        <w:tab/>
      </w:r>
      <w:r>
        <w:rPr>
          <w:rFonts w:ascii="David" w:hAnsi="David" w:hint="cs"/>
          <w:b/>
          <w:bCs/>
          <w:rtl/>
        </w:rPr>
        <w:t>לנוכח כל  האמור לעיל, לא מצ</w:t>
      </w:r>
      <w:r w:rsidRPr="00A44150">
        <w:rPr>
          <w:rFonts w:ascii="David" w:hAnsi="David" w:hint="cs"/>
          <w:b/>
          <w:bCs/>
          <w:rtl/>
        </w:rPr>
        <w:t>אתי להתערב בהחלטה קמא, ואני מורה על דחיית בקשת רשות הערעור.</w:t>
      </w:r>
    </w:p>
    <w:p w:rsidR="00952C85" w:rsidRDefault="00952C85" w:rsidP="00952C85">
      <w:pPr>
        <w:spacing w:after="120" w:line="360" w:lineRule="auto"/>
        <w:ind w:left="720" w:hanging="720"/>
        <w:jc w:val="both"/>
        <w:rPr>
          <w:rFonts w:ascii="David" w:hAnsi="David"/>
          <w:rtl/>
        </w:rPr>
      </w:pPr>
      <w:r>
        <w:rPr>
          <w:rFonts w:ascii="David" w:hAnsi="David" w:hint="cs"/>
          <w:rtl/>
        </w:rPr>
        <w:t>20.</w:t>
      </w:r>
      <w:r>
        <w:rPr>
          <w:rFonts w:ascii="David" w:hAnsi="David" w:hint="cs"/>
          <w:rtl/>
        </w:rPr>
        <w:tab/>
        <w:t xml:space="preserve">משלא נתבקשה תשובה </w:t>
      </w:r>
      <w:r>
        <w:rPr>
          <w:rFonts w:ascii="David" w:hAnsi="David"/>
          <w:rtl/>
        </w:rPr>
        <w:t>–</w:t>
      </w:r>
      <w:r>
        <w:rPr>
          <w:rFonts w:ascii="David" w:hAnsi="David" w:hint="cs"/>
          <w:rtl/>
        </w:rPr>
        <w:t xml:space="preserve"> אין צו להוצאות.</w:t>
      </w:r>
    </w:p>
    <w:p w:rsidR="00952C85" w:rsidRDefault="00952C85" w:rsidP="00952C85">
      <w:pPr>
        <w:spacing w:after="120" w:line="360" w:lineRule="auto"/>
        <w:ind w:left="720" w:hanging="720"/>
        <w:jc w:val="both"/>
        <w:rPr>
          <w:rFonts w:ascii="David" w:hAnsi="David"/>
          <w:rtl/>
        </w:rPr>
      </w:pPr>
    </w:p>
    <w:p w:rsidR="00952C85" w:rsidRPr="00D10412" w:rsidRDefault="00952C85" w:rsidP="00952C85">
      <w:pPr>
        <w:spacing w:after="120" w:line="360" w:lineRule="auto"/>
        <w:ind w:left="720" w:hanging="720"/>
        <w:jc w:val="both"/>
        <w:rPr>
          <w:rFonts w:ascii="David" w:hAnsi="David"/>
          <w:b/>
          <w:bCs/>
          <w:rtl/>
        </w:rPr>
      </w:pPr>
      <w:r w:rsidRPr="00D10412">
        <w:rPr>
          <w:rFonts w:ascii="David" w:hAnsi="David" w:hint="cs"/>
          <w:b/>
          <w:bCs/>
          <w:rtl/>
        </w:rPr>
        <w:t xml:space="preserve">המזכירות תעביר </w:t>
      </w:r>
      <w:r>
        <w:rPr>
          <w:rFonts w:ascii="David" w:hAnsi="David" w:hint="cs"/>
          <w:b/>
          <w:bCs/>
          <w:rtl/>
        </w:rPr>
        <w:t>החלטה זו</w:t>
      </w:r>
      <w:r w:rsidRPr="00D10412">
        <w:rPr>
          <w:rFonts w:ascii="David" w:hAnsi="David" w:hint="cs"/>
          <w:b/>
          <w:bCs/>
          <w:rtl/>
        </w:rPr>
        <w:t xml:space="preserve"> לצדדים.</w:t>
      </w:r>
    </w:p>
    <w:p w:rsidR="00952C85" w:rsidRPr="00D10412" w:rsidRDefault="00952C85" w:rsidP="00952C85">
      <w:pPr>
        <w:spacing w:after="120" w:line="360" w:lineRule="auto"/>
        <w:ind w:left="720" w:hanging="720"/>
        <w:jc w:val="both"/>
        <w:rPr>
          <w:rFonts w:ascii="David" w:hAnsi="David"/>
          <w:b/>
          <w:bCs/>
          <w:rtl/>
        </w:rPr>
      </w:pPr>
    </w:p>
    <w:p w:rsidR="00952C85" w:rsidRDefault="00952C85" w:rsidP="00461868">
      <w:pPr>
        <w:spacing w:after="120" w:line="360" w:lineRule="auto"/>
        <w:ind w:left="720" w:hanging="720"/>
        <w:jc w:val="both"/>
        <w:rPr>
          <w:rFonts w:ascii="Arial" w:hAnsi="Arial"/>
          <w:noProof w:val="0"/>
          <w:rtl/>
        </w:rPr>
      </w:pPr>
      <w:r>
        <w:rPr>
          <w:rFonts w:ascii="David" w:hAnsi="David" w:hint="cs"/>
          <w:b/>
          <w:bCs/>
          <w:rtl/>
        </w:rPr>
        <w:t>החלטה זו</w:t>
      </w:r>
      <w:r w:rsidRPr="00D10412">
        <w:rPr>
          <w:rFonts w:ascii="David" w:hAnsi="David" w:hint="cs"/>
          <w:b/>
          <w:bCs/>
          <w:rtl/>
        </w:rPr>
        <w:t xml:space="preserve"> מותר</w:t>
      </w:r>
      <w:r>
        <w:rPr>
          <w:rFonts w:ascii="David" w:hAnsi="David" w:hint="cs"/>
          <w:b/>
          <w:bCs/>
          <w:rtl/>
        </w:rPr>
        <w:t>ת</w:t>
      </w:r>
      <w:r w:rsidRPr="00D10412">
        <w:rPr>
          <w:rFonts w:ascii="David" w:hAnsi="David" w:hint="cs"/>
          <w:b/>
          <w:bCs/>
          <w:rtl/>
        </w:rPr>
        <w:t xml:space="preserve"> לפרסום תוך השמטת שמות הצדדים וכל פרט מזהה אחר.</w:t>
      </w:r>
      <w:r>
        <w:rPr>
          <w:rFonts w:hint="cs"/>
          <w:rtl/>
        </w:rPr>
        <w:t xml:space="preserve">     </w:t>
      </w:r>
      <w:r w:rsidR="0066474F">
        <w:rPr>
          <w:rFonts w:ascii="Arial" w:hAnsi="Arial" w:hint="cs"/>
          <w:noProof w:val="0"/>
          <w:rtl/>
        </w:rPr>
        <w:t>ד</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אוקטובר 2024</w:t>
          </w:r>
        </w:sdtContent>
      </w:sdt>
      <w:r w:rsidR="00005C8B">
        <w:rPr>
          <w:rFonts w:ascii="Arial" w:hAnsi="Arial"/>
          <w:noProof w:val="0"/>
          <w:rtl/>
        </w:rPr>
        <w:t>, בהעדר הצדדים.</w:t>
      </w:r>
    </w:p>
    <w:p w:rsidR="00C43648" w:rsidRDefault="009D288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33792538"/>
        </w:sdtPr>
        <w:sdtEndPr/>
        <w:sdtContent>
          <w:r w:rsidR="00B90755">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52C85">
      <w:headerReference w:type="even" r:id="rId10"/>
      <w:headerReference w:type="default" r:id="rId11"/>
      <w:footerReference w:type="even" r:id="rId12"/>
      <w:footerReference w:type="default" r:id="rId13"/>
      <w:headerReference w:type="first" r:id="rId14"/>
      <w:footerReference w:type="first" r:id="rId15"/>
      <w:pgSz w:w="11907" w:h="16840" w:code="9"/>
      <w:pgMar w:top="1440" w:right="850"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88C" w:rsidRDefault="009D288C">
      <w:r>
        <w:separator/>
      </w:r>
    </w:p>
  </w:endnote>
  <w:endnote w:type="continuationSeparator" w:id="0">
    <w:p w:rsidR="009D288C" w:rsidRDefault="009D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408" w:rsidRDefault="0030240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302408">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302408">
      <w:rPr>
        <w:rStyle w:val="ab"/>
        <w:rFonts w:ascii="David" w:hAnsi="David"/>
        <w:rtl/>
      </w:rPr>
      <w:t>4</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408" w:rsidRDefault="003024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88C" w:rsidRDefault="009D288C">
      <w:r>
        <w:separator/>
      </w:r>
    </w:p>
  </w:footnote>
  <w:footnote w:type="continuationSeparator" w:id="0">
    <w:p w:rsidR="009D288C" w:rsidRDefault="009D2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408" w:rsidRDefault="003024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952C85" w:rsidRDefault="009D288C" w:rsidP="00E75E06">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76938-09-24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5E06">
                <w:rPr>
                  <w:rFonts w:hint="cs"/>
                  <w:b/>
                  <w:bCs/>
                  <w:noProof w:val="0"/>
                  <w:sz w:val="26"/>
                  <w:szCs w:val="26"/>
                  <w:rtl/>
                </w:rPr>
                <w:t xml:space="preserve">פ' </w:t>
              </w:r>
              <w:r w:rsidR="00E75E06">
                <w:rPr>
                  <w:b/>
                  <w:bCs/>
                  <w:noProof w:val="0"/>
                  <w:sz w:val="26"/>
                  <w:szCs w:val="26"/>
                  <w:rtl/>
                </w:rPr>
                <w:t>נ' פ</w:t>
              </w:r>
              <w:r w:rsidR="00E75E06">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408" w:rsidRDefault="0030240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050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05055&amp;lt;/CaseID&amp;gt;_x000d__x000a_        &amp;lt;CaseMonth&amp;gt;9&amp;lt;/CaseMonth&amp;gt;_x000d__x000a_        &amp;lt;CaseYear&amp;gt;2024&amp;lt;/CaseYear&amp;gt;_x000d__x000a_        &amp;lt;CaseNumber&amp;gt;76938&amp;lt;/CaseNumber&amp;gt;_x000d__x000a_        &amp;lt;NumeratorGroupID&amp;gt;1&amp;lt;/NumeratorGroupID&amp;gt;_x000d__x000a_        &amp;lt;CaseName&amp;gt;הודיה פרנקו נ&amp;#39; פרנקו&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6938-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9-30T09:5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 לאחר אישור מז&amp;#39; משפטית. _x000d__x000a_תיק נייר הועבר למדו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05055&amp;lt;/CaseID&amp;gt;_x000d__x000a_        &amp;lt;CaseMonth&amp;gt;9&amp;lt;/CaseMonth&amp;gt;_x000d__x000a_        &amp;lt;CaseYear&amp;gt;2024&amp;lt;/CaseYear&amp;gt;_x000d__x000a_        &amp;lt;CaseNumber&amp;gt;76938&amp;lt;/CaseNumber&amp;gt;_x000d__x000a_        &amp;lt;NumeratorGroupID&amp;gt;1&amp;lt;/NumeratorGroupID&amp;gt;_x000d__x000a_        &amp;lt;CaseName&amp;gt;הודיה פרנקו נ&amp;#39; פרנקו&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6938-09-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4-09-30T09:57: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 לאחר אישור מז&amp;#39; משפטית. _x000d__x000a_תיק נייר הועבר למדו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52694&amp;lt;/DecisionID&amp;gt;_x000d__x000a_        &amp;lt;DecisionName&amp;gt;החלטה  שניתנה ע&amp;quot;י  חננאל שרעבי&amp;lt;/DecisionName&amp;gt;_x000d__x000a_        &amp;lt;DecisionStatusID&amp;gt;1&amp;lt;/DecisionStatusID&amp;gt;_x000d__x000a_        &amp;lt;DecisionStatusChangeDate&amp;gt;2024-10-01T09:23:17.687+03:00&amp;lt;/DecisionStatusChangeDate&amp;gt;_x000d__x000a_        &amp;lt;DecisionSignatureDate&amp;gt;2024-10-01T09:16:25.537+03:00&amp;lt;/DecisionSignatureDate&amp;gt;_x000d__x000a_        &amp;lt;DecisionSignatureUserID&amp;gt;056479827@GOV.IL&amp;lt;/DecisionSignatureUserID&amp;gt;_x000d__x000a_        &amp;lt;DecisionCreateDate&amp;gt;2024-10-01T09:18:08.95+03:00&amp;lt;/DecisionCreateDate&amp;gt;_x000d__x000a_        &amp;lt;DecisionChangeDate&amp;gt;2024-10-01T09:23:17.79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79074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5252694&amp;lt;/DecisionID&amp;gt;_x000d__x000a_        &amp;lt;CaseID&amp;gt;82005055&amp;lt;/CaseID&amp;gt;_x000d__x000a_        &amp;lt;IsOriginal&amp;gt;true&amp;lt;/IsOriginal&amp;gt;_x000d__x000a_        &amp;lt;IsDeleted&amp;gt;false&amp;lt;/IsDeleted&amp;gt;_x000d__x000a_        &amp;lt;CaseName&amp;gt;הודיה פרנקו נ&amp;#39; פרנקו&amp;lt;/CaseName&amp;gt;_x000d__x000a_        &amp;lt;CaseDisplayIdentifier&amp;gt;76938-09-24 רמ&amp;quot;ש&amp;lt;/CaseDisplayIdentifier&amp;gt;_x000d__x000a_      &amp;lt;/dt_DecisionCase&amp;gt;_x000d__x000a_    &amp;lt;/DecisionDS&amp;gt;_x000d__x000a_  &amp;lt;/diffgr:diffgram&amp;gt;_x000d__x000a_&amp;lt;/DecisionDS&amp;gt;"/>
    <w:docVar w:name="DecisionID" w:val="155252694"/>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B7475"/>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A775D"/>
    <w:rsid w:val="002C344E"/>
    <w:rsid w:val="002E75E9"/>
    <w:rsid w:val="002F0B1E"/>
    <w:rsid w:val="00302408"/>
    <w:rsid w:val="00307A6A"/>
    <w:rsid w:val="00307C40"/>
    <w:rsid w:val="00320433"/>
    <w:rsid w:val="003230C7"/>
    <w:rsid w:val="00327E50"/>
    <w:rsid w:val="003358DE"/>
    <w:rsid w:val="0033597A"/>
    <w:rsid w:val="00343D89"/>
    <w:rsid w:val="00362612"/>
    <w:rsid w:val="0036743F"/>
    <w:rsid w:val="003715DD"/>
    <w:rsid w:val="003823E0"/>
    <w:rsid w:val="003A4521"/>
    <w:rsid w:val="003B3E8D"/>
    <w:rsid w:val="003D1C8C"/>
    <w:rsid w:val="0040096C"/>
    <w:rsid w:val="00414F1F"/>
    <w:rsid w:val="004258F2"/>
    <w:rsid w:val="0043125D"/>
    <w:rsid w:val="0043502B"/>
    <w:rsid w:val="004443AC"/>
    <w:rsid w:val="00444B02"/>
    <w:rsid w:val="00451E28"/>
    <w:rsid w:val="004549C7"/>
    <w:rsid w:val="0046186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0602"/>
    <w:rsid w:val="0061431B"/>
    <w:rsid w:val="00622BAA"/>
    <w:rsid w:val="006306CF"/>
    <w:rsid w:val="00630C4B"/>
    <w:rsid w:val="006318D8"/>
    <w:rsid w:val="00644E9A"/>
    <w:rsid w:val="0066474F"/>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1B3A"/>
    <w:rsid w:val="007E6115"/>
    <w:rsid w:val="007F4609"/>
    <w:rsid w:val="00814468"/>
    <w:rsid w:val="008176A1"/>
    <w:rsid w:val="00820005"/>
    <w:rsid w:val="0083616A"/>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2C85"/>
    <w:rsid w:val="00955642"/>
    <w:rsid w:val="009622DF"/>
    <w:rsid w:val="0096493F"/>
    <w:rsid w:val="00967DFF"/>
    <w:rsid w:val="009777CA"/>
    <w:rsid w:val="00994341"/>
    <w:rsid w:val="009D1A48"/>
    <w:rsid w:val="009D288C"/>
    <w:rsid w:val="009E1CE7"/>
    <w:rsid w:val="009E4EA5"/>
    <w:rsid w:val="009F164B"/>
    <w:rsid w:val="009F323C"/>
    <w:rsid w:val="00A3392B"/>
    <w:rsid w:val="00A54707"/>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70EA0"/>
    <w:rsid w:val="00B809AD"/>
    <w:rsid w:val="00B80CBD"/>
    <w:rsid w:val="00B86096"/>
    <w:rsid w:val="00B90755"/>
    <w:rsid w:val="00B95D6E"/>
    <w:rsid w:val="00B964D9"/>
    <w:rsid w:val="00BA0A7C"/>
    <w:rsid w:val="00BA517C"/>
    <w:rsid w:val="00BB3D05"/>
    <w:rsid w:val="00BB73BE"/>
    <w:rsid w:val="00BC2D89"/>
    <w:rsid w:val="00BD6531"/>
    <w:rsid w:val="00BE05B2"/>
    <w:rsid w:val="00BE73D4"/>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19AF"/>
    <w:rsid w:val="00E25884"/>
    <w:rsid w:val="00E25B55"/>
    <w:rsid w:val="00E31C2B"/>
    <w:rsid w:val="00E5426A"/>
    <w:rsid w:val="00E54642"/>
    <w:rsid w:val="00E75E06"/>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246C8"/>
    <w:rsid w:val="00D6580E"/>
    <w:rsid w:val="00E31BF6"/>
    <w:rsid w:val="00E81DB1"/>
    <w:rsid w:val="00F04DC1"/>
    <w:rsid w:val="00F678CA"/>
    <w:rsid w:val="00F867AE"/>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אברהם אמר</FullName>
        <FirstName>אברהם</FirstName>
        <LastName>אמר</LastName>
        <PartyPropertyName/>
        <AuthenticationTypeAndNumber>מ.ר. 46769</AuthenticationTypeAndNumber>
        <RepresentatedOrRepresentativesNames>דקלה הודיה פרנקו</RepresentatedOrRepresentativesNames>
        <RepresentatedOrRepresentativesCount>1</RepresentatedOrRepresentativesCount>
        <InvitedBy/>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278159289</CasePartyID>
        <PartyTypeID>2</PartyTypeID>
        <ActivityStatusID>1</ActivityStatusID>
        <PartyAliasID>22</PartyAliasID>
        <PartyAliasName>בא כוח מבקשים</PartyAliasName>
        <OrdinalNumber>1</OrdinalNumber>
        <LegalEntityID>2328857</LegalEntityID>
        <CaseLegalEntityID>132487907</CaseLegalEntityID>
        <AuthenticationTypeID>4</AuthenticationTypeID>
        <AuthenticationTypeName>מ.ר.</AuthenticationTypeName>
        <LegalEntityNumber>46769</LegalEntityNumber>
        <IsMainPartyType>true</IsMainPartyType>
        <CaseDisplayIdentifier>76938-09-24</CaseDisplayIdentifier>
        <CaseTypeID>10074</CaseTypeID>
        <CaseTypeName>רשות ערעור משפחה (רמ"ש)</CaseTypeName>
        <CaseName>הודיה פרנקו נ' פרנקו</CaseName>
        <FullAddress>דרך עכו 63 קריית מוצקין </FullAddress>
        <EmailAddress>amaravi28@gmail.com</EmailAddress>
        <MotionID>0</MotionID>
        <CasePleaID>0</CasePleaID>
        <LinkedCaseID>0</LinkedCaseID>
        <PartyID>1</PartyID>
        <CasePartyCategoryID>2</CasePartyCategoryID>
        <LegalEntityAddressID>75444171</LegalEntityAddressID>
        <LegalEntityEmailAddressID>67829210</LegalEntityEmailAddressID>
        <PleaTypeID>5</PleaTypeID>
        <LawyerOfficeName>משרד עו"ד אברהם אמר</LawyerOfficeName>
        <LawyerOfficeID>2328858</LawyerOfficeID>
        <GroupPartyAlias/>
        <IsConverted>false</IsConverted>
        <LegalEntityNameID>1952414</LegalEntityNameID>
        <RepresentatedNamesOfAssistant/>
        <LegalEntityTypeID>4</LegalEntityTypeID>
        <IsVerdictExists>false</IsVerdictExists>
        <IsAsirAzir>false</IsAsirAzir>
        <MainAndSecSpec/>
        <IsPublicationProhibited>false</IsPublicationProhibited>
        <PublicationProhibitedFullName>אברהם אמר</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דקלה הודיה פרנקו</FullName>
        <FirstName>דקלה</FirstName>
        <LastName>הודיה פרנקו</LastName>
        <PartyPropertyName/>
        <AuthenticationTypeAndNumber>ת"ז 046242277</AuthenticationTypeAndNumber>
        <RepresentatedOrRepresentativesNames>אברהם אמר</RepresentatedOrRepresentativesNames>
        <RepresentatedOrRepresentativesCount>1</RepresentatedOrRepresentativesCount>
        <InvitedBy/>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278159287</CasePartyID>
        <PartyTypeID>1</PartyTypeID>
        <ActivityStatusID>1</ActivityStatusID>
        <PartyAliasID>3</PartyAliasID>
        <PartyAliasName>מבקש</PartyAliasName>
        <OrdinalNumber>1</OrdinalNumber>
        <LegalEntityID>3752955</LegalEntityID>
        <CaseLegalEntityID>132487905</CaseLegalEntityID>
        <AuthenticationTypeID>1</AuthenticationTypeID>
        <AuthenticationTypeName>ת"ז</AuthenticationTypeName>
        <LegalEntityNumber>046242277</LegalEntityNumber>
        <IsMainPartyType>true</IsMainPartyType>
        <CaseDisplayIdentifier>76938-09-24</CaseDisplayIdentifier>
        <CaseTypeID>10074</CaseTypeID>
        <CaseTypeName>רשות ערעור משפחה (רמ"ש)</CaseTypeName>
        <CaseName>הודיה פרנקו נ' פרנקו</CaseName>
        <FullAddress>הדס 10 עכו </FullAddress>
        <MotionID>0</MotionID>
        <CasePleaID>0</CasePleaID>
        <FatherName>רמי</FatherName>
        <LinkedCaseID>0</LinkedCaseID>
        <PartyID>1</PartyID>
        <CasePartyCategoryID>2</CasePartyCategoryID>
        <LegalEntityAddressID>88697522</LegalEntityAddressID>
        <PleaTypeID>5</PleaTypeID>
        <GroupPartyAlias>מבקשים</GroupPartyAlias>
        <IsConverted>false</IsConverted>
        <LegalEntityNameID>95827965</LegalEntityNameID>
        <RepresentatedNamesOfAssistant/>
        <LegalEntityTypeID>1</LegalEntityTypeID>
        <IsVerdictExists>false</IsVerdictExists>
        <IsAsirAzir>false</IsAsirAzir>
        <MainAndSecSpec/>
        <IsPublicationProhibited>false</IsPublicationProhibited>
        <PublicationProhibitedFullName>דקלה הודיה פרנקו</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אשר אושרי פרנקו</FullName>
        <FirstName>אשר אושרי</FirstName>
        <LastName>פרנקו</LastName>
        <PartyPropertyName/>
        <AuthenticationTypeAndNumber>ת"ז 033784083</AuthenticationTypeAndNumber>
        <RepresentatedOrRepresentativesNames/>
        <RepresentatedOrRepresentativesCount>0</RepresentatedOrRepresentativesCount>
        <InvitedBy/>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278159288</CasePartyID>
        <PartyTypeID>1</PartyTypeID>
        <ActivityStatusID>1</ActivityStatusID>
        <PartyAliasID>4</PartyAliasID>
        <PartyAliasName>משיב</PartyAliasName>
        <OrdinalNumber>1</OrdinalNumber>
        <LegalEntityID>6156189</LegalEntityID>
        <CaseLegalEntityID>132487906</CaseLegalEntityID>
        <AuthenticationTypeID>1</AuthenticationTypeID>
        <AuthenticationTypeName>ת"ז</AuthenticationTypeName>
        <LegalEntityNumber>033784083</LegalEntityNumber>
        <IsMainPartyType>true</IsMainPartyType>
        <CaseDisplayIdentifier>76938-09-24</CaseDisplayIdentifier>
        <CaseTypeID>10074</CaseTypeID>
        <CaseTypeName>רשות ערעור משפחה (רמ"ש)</CaseTypeName>
        <CaseName>הודיה פרנקו נ' פרנקו</CaseName>
        <FullAddress>הדס 10 עכו </FullAddress>
        <MotionID>0</MotionID>
        <CasePleaID>0</CasePleaID>
        <FatherName>יהודה</FatherName>
        <LinkedCaseID>0</LinkedCaseID>
        <PartyID>2</PartyID>
        <CasePartyCategoryID>2</CasePartyCategoryID>
        <LegalEntityAddressID>88697523</LegalEntityAddressID>
        <PleaTypeID>5</PleaTypeID>
        <GroupPartyAlias>משיבים</GroupPartyAlias>
        <IsConverted>false</IsConverted>
        <LegalEntityRegisteredNameID>8664864</LegalEntityRegisteredNameID>
        <LegalEntityNameID>95827966</LegalEntityNameID>
        <RepresentatedNamesOfAssistant/>
        <LegalEntityTypeID>1</LegalEntityTypeID>
        <IsVerdictExists>false</IsVerdictExists>
        <IsAsirAzir>false</IsAsirAzir>
        <MainAndSecSpec/>
        <IsPublicationProhibited>false</IsPublicationProhibited>
        <PublicationProhibitedFullName>אשר אושרי פרנקו</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2024-10-01T09:16:25.5375602+03:00</DecisionSignatureDate>
    <OpenCaseDate>2024-09-30T09:57:00+03:00</OpenCaseDate>
    <CaseFeeSum>0.000</CaseFeeSum>
    <DecisionTypeID>1</DecisionTypeID>
    <DecisionSignatureUserName>חננאל שרעבי</DecisionSignatureUserName>
    <DecisionSignatureDateHebrew>2024-10-01T09:16:25.5375602+03:00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הודיה פרנקו נ' פרנקו</CaseName>
    <DecisionNumberInCase>1</DecisionNumberInCase>
  </dt_Decision>
  <dt_DecisionCase>
    <DecisionID>0</DecisionID>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אברהם אמר</FullName>
        <FirstName>אברהם</FirstName>
        <LastName>אמר</LastName>
        <PartyPropertyName/>
        <AuthenticationTypeAndNumber>מ.ר. 46769</AuthenticationTypeAndNumber>
        <RepresentatedOrRepresentativesNames>דקלה הודיה פרנקו</RepresentatedOrRepresentativesNames>
        <RepresentatedOrRepresentativesCount>1</RepresentatedOrRepresentativesCount>
        <InvitedBy/>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278159289</CasePartyID>
        <PartyTypeID>2</PartyTypeID>
        <ActivityStatusID>1</ActivityStatusID>
        <PartyAliasID>22</PartyAliasID>
        <PartyAliasName>בא כוח מבקשים</PartyAliasName>
        <OrdinalNumber>1</OrdinalNumber>
        <LegalEntityID>2328857</LegalEntityID>
        <CaseLegalEntityID>132487907</CaseLegalEntityID>
        <AuthenticationTypeID>4</AuthenticationTypeID>
        <AuthenticationTypeName>מ.ר.</AuthenticationTypeName>
        <LegalEntityNumber>46769</LegalEntityNumber>
        <IsMainPartyType>true</IsMainPartyType>
        <CaseDisplayIdentifier>76938-09-24</CaseDisplayIdentifier>
        <CaseTypeID>10074</CaseTypeID>
        <CaseTypeName>רשות ערעור משפחה (רמ"ש)</CaseTypeName>
        <CaseName>הודיה פרנקו נ' פרנקו</CaseName>
        <FullAddress>דרך עכו 63 קריית מוצקין </FullAddress>
        <EmailAddress>amaravi28@gmail.com</EmailAddress>
        <MotionID>0</MotionID>
        <CasePleaID>0</CasePleaID>
        <LinkedCaseID>0</LinkedCaseID>
        <PartyID>1</PartyID>
        <CasePartyCategoryID>2</CasePartyCategoryID>
        <LegalEntityAddressID>75444171</LegalEntityAddressID>
        <LegalEntityEmailAddressID>67829210</LegalEntityEmailAddressID>
        <PleaTypeID>5</PleaTypeID>
        <LawyerOfficeName>משרד עו"ד אברהם אמר</LawyerOfficeName>
        <LawyerOfficeID>2328858</LawyerOfficeID>
        <GroupPartyAlias/>
        <IsConverted>false</IsConverted>
        <LegalEntityNameID>1952414</LegalEntityNameID>
        <RepresentatedNamesOfAssistant/>
        <LegalEntityTypeID>4</LegalEntityTypeID>
        <IsVerdictExists>false</IsVerdictExists>
        <IsAsirAzir>false</IsAsirAzir>
        <MainAndSecSpec/>
        <IsPublicationProhibited>false</IsPublicationProhibited>
        <PublicationProhibitedFullName>אברהם אמר</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דקלה הודיה פרנקו</FullName>
        <FirstName>דקלה</FirstName>
        <LastName>הודיה פרנקו</LastName>
        <PartyPropertyName/>
        <AuthenticationTypeAndNumber>ת"ז 046242277</AuthenticationTypeAndNumber>
        <RepresentatedOrRepresentativesNames>אברהם אמר</RepresentatedOrRepresentativesNames>
        <RepresentatedOrRepresentativesCount>1</RepresentatedOrRepresentativesCount>
        <InvitedBy/>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278159287</CasePartyID>
        <PartyTypeID>1</PartyTypeID>
        <ActivityStatusID>1</ActivityStatusID>
        <PartyAliasID>3</PartyAliasID>
        <PartyAliasName>מבקש</PartyAliasName>
        <OrdinalNumber>1</OrdinalNumber>
        <LegalEntityID>3752955</LegalEntityID>
        <CaseLegalEntityID>132487905</CaseLegalEntityID>
        <AuthenticationTypeID>1</AuthenticationTypeID>
        <AuthenticationTypeName>ת"ז</AuthenticationTypeName>
        <LegalEntityNumber>046242277</LegalEntityNumber>
        <IsMainPartyType>true</IsMainPartyType>
        <CaseDisplayIdentifier>76938-09-24</CaseDisplayIdentifier>
        <CaseTypeID>10074</CaseTypeID>
        <CaseTypeName>רשות ערעור משפחה (רמ"ש)</CaseTypeName>
        <CaseName>הודיה פרנקו נ' פרנקו</CaseName>
        <FullAddress>הדס 10 עכו </FullAddress>
        <MotionID>0</MotionID>
        <CasePleaID>0</CasePleaID>
        <FatherName>רמי</FatherName>
        <LinkedCaseID>0</LinkedCaseID>
        <PartyID>1</PartyID>
        <CasePartyCategoryID>2</CasePartyCategoryID>
        <LegalEntityAddressID>88697522</LegalEntityAddressID>
        <PleaTypeID>5</PleaTypeID>
        <GroupPartyAlias>מבקשים</GroupPartyAlias>
        <IsConverted>false</IsConverted>
        <LegalEntityNameID>95827965</LegalEntityNameID>
        <RepresentatedNamesOfAssistant/>
        <LegalEntityTypeID>1</LegalEntityTypeID>
        <IsVerdictExists>false</IsVerdictExists>
        <IsAsirAzir>false</IsAsirAzir>
        <MainAndSecSpec/>
        <IsPublicationProhibited>false</IsPublicationProhibited>
        <PublicationProhibitedFullName>דקלה הודיה פרנקו</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אשר אושרי פרנקו</FullName>
        <FirstName>אשר אושרי</FirstName>
        <LastName>פרנקו</LastName>
        <PartyPropertyName/>
        <AuthenticationTypeAndNumber>ת"ז 033784083</AuthenticationTypeAndNumber>
        <RepresentatedOrRepresentativesNames/>
        <RepresentatedOrRepresentativesCount>0</RepresentatedOrRepresentativesCount>
        <InvitedBy/>
        <CaseID>82005055</CaseID>
        <CaseJudicialPersonPresentationDS>
          <CaseJudicalPersonActive>
            <CaseID>82005055</CaseID>
            <JudicialPersonID>056479827@GOV.IL</JudicialPersonID>
            <JudicialPersonTypeID>1</JudicialPersonTypeID>
            <JudicialTypeID>1</JudicialTypeID>
            <IsChairman>false</IsChairman>
            <TreatmentStartDate>2024-09-30T13:59:52.24+03:00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278159288</CasePartyID>
        <PartyTypeID>1</PartyTypeID>
        <ActivityStatusID>1</ActivityStatusID>
        <PartyAliasID>4</PartyAliasID>
        <PartyAliasName>משיב</PartyAliasName>
        <OrdinalNumber>1</OrdinalNumber>
        <LegalEntityID>6156189</LegalEntityID>
        <CaseLegalEntityID>132487906</CaseLegalEntityID>
        <AuthenticationTypeID>1</AuthenticationTypeID>
        <AuthenticationTypeName>ת"ז</AuthenticationTypeName>
        <LegalEntityNumber>033784083</LegalEntityNumber>
        <IsMainPartyType>true</IsMainPartyType>
        <CaseDisplayIdentifier>76938-09-24</CaseDisplayIdentifier>
        <CaseTypeID>10074</CaseTypeID>
        <CaseTypeName>רשות ערעור משפחה (רמ"ש)</CaseTypeName>
        <CaseName>הודיה פרנקו נ' פרנקו</CaseName>
        <FullAddress>הדס 10 עכו </FullAddress>
        <MotionID>0</MotionID>
        <CasePleaID>0</CasePleaID>
        <FatherName>יהודה</FatherName>
        <LinkedCaseID>0</LinkedCaseID>
        <PartyID>2</PartyID>
        <CasePartyCategoryID>2</CasePartyCategoryID>
        <LegalEntityAddressID>88697523</LegalEntityAddressID>
        <PleaTypeID>5</PleaTypeID>
        <GroupPartyAlias>משיבים</GroupPartyAlias>
        <IsConverted>false</IsConverted>
        <LegalEntityRegisteredNameID>8664864</LegalEntityRegisteredNameID>
        <LegalEntityNameID>95827966</LegalEntityNameID>
        <RepresentatedNamesOfAssistant/>
        <LegalEntityTypeID>1</LegalEntityTypeID>
        <IsVerdictExists>false</IsVerdictExists>
        <IsAsirAzir>false</IsAsirAzir>
        <MainAndSecSpec/>
        <IsPublicationProhibited>false</IsPublicationProhibited>
        <PublicationProhibitedFullName>אשר אושרי פרנקו</PublicationProhibitedFullName>
      </CaseParties>
    </CasePartiesSelectionDS>
    <CaseName>הודיה פרנקו נ' פרנקו</CaseName>
    <CaseDisplayIdentifier>76938-09-24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הדס 10</StreetName>
    <CityName>עכו</CityName>
    <FullName>דקלה הודיה פרנקו</FullName>
    <IsPublicationProhibited>false</IsPublicationProhibited>
  </dt_LegalEntityDetails>
  <dt_LegalEntityDetails>
    <PartyID>2</PartyID>
    <PartyTypeID>1</PartyTypeID>
    <DecisionID>0</DecisionID>
    <StreetName>הדס 10</StreetName>
    <CityName>עכו</CityName>
    <FullName>אשר אושרי פרנקו</FullName>
    <IsPublicationProhibited>false</IsPublicationProhibited>
  </dt_LegalEntityDetails>
  <dt_LegalEntityDetails>
    <Fax>04-8777299</Fax>
    <Phone>04-8772229</Phone>
    <PartyID>1</PartyID>
    <PartyTypeID>2</PartyTypeID>
    <DecisionID>0</DecisionID>
    <StreetName>דרך עכו 63</StreetName>
    <ZipCode>26311</ZipCode>
    <CityName>קריית מוצקין</CityName>
    <FullName>אברהם אמר</FullName>
    <Email>amaravi28@gmail.com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B18F-4B42-4CDC-8F1A-7CE89F8819AE}">
  <ds:schemaRefs/>
</ds:datastoreItem>
</file>

<file path=customXml/itemProps2.xml><?xml version="1.0" encoding="utf-8"?>
<ds:datastoreItem xmlns:ds="http://schemas.openxmlformats.org/officeDocument/2006/customXml" ds:itemID="{B32409B8-FCA5-42F1-A358-AF701E00A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5732</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2024-10-29T07:53:00Z</dcterms:created>
  <dcterms:modified xsi:type="dcterms:W3CDTF">2024-10-29T07:53:00Z</dcterms:modified>
</cp:coreProperties>
</file>